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C7E" w:rsidRDefault="003A3C7E">
      <w:pPr>
        <w:widowControl w:val="0"/>
        <w:pBdr>
          <w:top w:val="nil"/>
          <w:left w:val="nil"/>
          <w:bottom w:val="nil"/>
          <w:right w:val="nil"/>
          <w:between w:val="nil"/>
        </w:pBdr>
        <w:spacing w:after="0" w:line="276" w:lineRule="auto"/>
      </w:pPr>
    </w:p>
    <w:p w:rsidR="003A3C7E" w:rsidRDefault="003A3C7E">
      <w:pPr>
        <w:widowControl w:val="0"/>
        <w:pBdr>
          <w:top w:val="nil"/>
          <w:left w:val="nil"/>
          <w:bottom w:val="nil"/>
          <w:right w:val="nil"/>
          <w:between w:val="nil"/>
        </w:pBdr>
        <w:spacing w:after="0" w:line="276" w:lineRule="auto"/>
        <w:rPr>
          <w:sz w:val="24"/>
          <w:szCs w:val="24"/>
        </w:rPr>
      </w:pPr>
    </w:p>
    <w:p w:rsidR="003A3C7E" w:rsidRDefault="00BD1A2D">
      <w:pPr>
        <w:spacing w:line="256" w:lineRule="auto"/>
        <w:jc w:val="center"/>
        <w:rPr>
          <w:rFonts w:ascii="Times New Roman" w:eastAsia="Times New Roman" w:hAnsi="Times New Roman" w:cs="Times New Roman"/>
          <w:b/>
          <w:color w:val="38761D"/>
          <w:sz w:val="26"/>
          <w:szCs w:val="26"/>
        </w:rPr>
      </w:pPr>
      <w:r>
        <w:rPr>
          <w:rFonts w:ascii="Times New Roman" w:eastAsia="Times New Roman" w:hAnsi="Times New Roman" w:cs="Times New Roman"/>
          <w:b/>
          <w:color w:val="38761D"/>
          <w:sz w:val="26"/>
          <w:szCs w:val="26"/>
        </w:rPr>
        <w:t>Modernizare de locomotive electrice şi vagoane</w:t>
      </w:r>
    </w:p>
    <w:p w:rsidR="003A3C7E" w:rsidRDefault="003A3C7E">
      <w:pPr>
        <w:spacing w:line="256" w:lineRule="auto"/>
        <w:jc w:val="center"/>
        <w:rPr>
          <w:rFonts w:ascii="Times New Roman" w:eastAsia="Times New Roman" w:hAnsi="Times New Roman" w:cs="Times New Roman"/>
          <w:b/>
          <w:color w:val="38761D"/>
          <w:sz w:val="24"/>
          <w:szCs w:val="24"/>
        </w:rPr>
      </w:pPr>
    </w:p>
    <w:p w:rsidR="003A3C7E" w:rsidRDefault="00BD1A2D">
      <w:pPr>
        <w:spacing w:line="256" w:lineRule="auto"/>
        <w:jc w:val="both"/>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Descrierea măsurii</w:t>
      </w:r>
    </w:p>
    <w:p w:rsidR="003A3C7E" w:rsidRDefault="003A3C7E">
      <w:pPr>
        <w:spacing w:line="256" w:lineRule="auto"/>
        <w:jc w:val="both"/>
        <w:rPr>
          <w:rFonts w:ascii="Times New Roman" w:eastAsia="Times New Roman" w:hAnsi="Times New Roman" w:cs="Times New Roman"/>
          <w:b/>
          <w:color w:val="38761D"/>
          <w:sz w:val="24"/>
          <w:szCs w:val="24"/>
        </w:rPr>
      </w:pPr>
    </w:p>
    <w:p w:rsidR="003A3C7E" w:rsidRDefault="00BD1A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Submăsura vizează modernizarea a 30 de locomotive electrice şi a 100 de vagoane. Atât locomotivele, cât şi vagoanele modernizate vor fi folosite doar pentru prestarea serviciului public de transport de călători.</w:t>
      </w:r>
    </w:p>
    <w:p w:rsidR="003A3C7E" w:rsidRDefault="00BD1A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 </w:t>
      </w:r>
      <w:r>
        <w:rPr>
          <w:rFonts w:ascii="Times New Roman" w:eastAsia="Times New Roman" w:hAnsi="Times New Roman" w:cs="Times New Roman"/>
          <w:b/>
          <w:sz w:val="24"/>
          <w:szCs w:val="24"/>
        </w:rPr>
        <w:t>modernizare, locomotivele electrice</w:t>
      </w:r>
      <w:r>
        <w:rPr>
          <w:rFonts w:ascii="Times New Roman" w:eastAsia="Times New Roman" w:hAnsi="Times New Roman" w:cs="Times New Roman"/>
          <w:sz w:val="24"/>
          <w:szCs w:val="24"/>
        </w:rPr>
        <w:t xml:space="preserve"> vor</w:t>
      </w:r>
      <w:r>
        <w:rPr>
          <w:rFonts w:ascii="Times New Roman" w:eastAsia="Times New Roman" w:hAnsi="Times New Roman" w:cs="Times New Roman"/>
          <w:sz w:val="24"/>
          <w:szCs w:val="24"/>
        </w:rPr>
        <w:t xml:space="preserve"> avea performanţe tehnice şi funcţionale net superioare faţă de modelul iniţial, respectiv, se va înregistra: reducerea consumului specific de energie electrică, îmbunătățirea forţei de tracţiune, reducerea zgomotului, reducerea costurilor de mentenanţă, c</w:t>
      </w:r>
      <w:r>
        <w:rPr>
          <w:rFonts w:ascii="Times New Roman" w:eastAsia="Times New Roman" w:hAnsi="Times New Roman" w:cs="Times New Roman"/>
          <w:sz w:val="24"/>
          <w:szCs w:val="24"/>
        </w:rPr>
        <w:t>reşterea disponibilităţii, în sensul măririi intervalului de timp între revizii şi reparaţii etc. Locomotivele electrice, utilizate pe rețeaua feroviară națională, vor dispune şi de instalație ERTMS on-board.</w:t>
      </w:r>
    </w:p>
    <w:p w:rsidR="003A3C7E" w:rsidRDefault="00BD1A2D">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Modernizarea vagoanelor de călători</w:t>
      </w:r>
      <w:r>
        <w:rPr>
          <w:rFonts w:ascii="Times New Roman" w:eastAsia="Times New Roman" w:hAnsi="Times New Roman" w:cs="Times New Roman"/>
          <w:sz w:val="24"/>
          <w:szCs w:val="24"/>
        </w:rPr>
        <w:t xml:space="preserve"> constă, spr</w:t>
      </w:r>
      <w:r>
        <w:rPr>
          <w:rFonts w:ascii="Times New Roman" w:eastAsia="Times New Roman" w:hAnsi="Times New Roman" w:cs="Times New Roman"/>
          <w:sz w:val="24"/>
          <w:szCs w:val="24"/>
        </w:rPr>
        <w:t>e exemplu, în dotarea cu instalație de climatizare (încălzire, ventilație și aer condiționat), cu sistem de informare a pasagerilor (cu display-uri în interiorul şi în exteriorul vagonului), cu uși cu acționare electrică (inclusiv cu multiple sisteme de pr</w:t>
      </w:r>
      <w:r>
        <w:rPr>
          <w:rFonts w:ascii="Times New Roman" w:eastAsia="Times New Roman" w:hAnsi="Times New Roman" w:cs="Times New Roman"/>
          <w:sz w:val="24"/>
          <w:szCs w:val="24"/>
        </w:rPr>
        <w:t>otecție a călătorilor la urcare și coborâre, precum și la deschiderile accidentale), cu scaune ergonomice, cu stație de amplificare pentru transmiterea de anunțuri făcute de către personalul de tren, cu tablou electric complet echipat, adaptat noilor insta</w:t>
      </w:r>
      <w:r>
        <w:rPr>
          <w:rFonts w:ascii="Times New Roman" w:eastAsia="Times New Roman" w:hAnsi="Times New Roman" w:cs="Times New Roman"/>
          <w:sz w:val="24"/>
          <w:szCs w:val="24"/>
        </w:rPr>
        <w:t>lații existente pe vagon etc. Din punct de vedere al calităţii şi dotărilor, prin modernizarea vagoanelor se atinge un nivel de 80-90% din standardul/nivelul tehnic al unui vagon nou achiziţionat, iar din punct de vedere al siguranţei, 100% din standardul/</w:t>
      </w:r>
      <w:r>
        <w:rPr>
          <w:rFonts w:ascii="Times New Roman" w:eastAsia="Times New Roman" w:hAnsi="Times New Roman" w:cs="Times New Roman"/>
          <w:sz w:val="24"/>
          <w:szCs w:val="24"/>
        </w:rPr>
        <w:t>nivelul tehnic al unui vagon nou achiziţionat.</w:t>
      </w:r>
    </w:p>
    <w:p w:rsidR="003A3C7E" w:rsidRDefault="00BD1A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Materialul rulant modernizat aferent proiectelor de investiţii din submăsura analizată este material rulant cu zero emisii. Se are în vedere utilizarea vagoanelor modernizate pe rute atractive, electrificate, </w:t>
      </w:r>
      <w:r>
        <w:rPr>
          <w:rFonts w:ascii="Times New Roman" w:eastAsia="Times New Roman" w:hAnsi="Times New Roman" w:cs="Times New Roman"/>
          <w:sz w:val="24"/>
          <w:szCs w:val="24"/>
        </w:rPr>
        <w:t>fiind astfel tractate de locomotive electrice.</w:t>
      </w:r>
    </w:p>
    <w:p w:rsidR="003A3C7E" w:rsidRDefault="00BD1A2D">
      <w:pPr>
        <w:jc w:val="both"/>
        <w:rPr>
          <w:rFonts w:ascii="Times New Roman" w:eastAsia="Times New Roman" w:hAnsi="Times New Roman" w:cs="Times New Roman"/>
          <w:sz w:val="24"/>
          <w:szCs w:val="24"/>
        </w:rPr>
        <w:sectPr w:rsidR="003A3C7E">
          <w:footerReference w:type="default" r:id="rId8"/>
          <w:pgSz w:w="11906" w:h="16838"/>
          <w:pgMar w:top="1440" w:right="1440" w:bottom="1440" w:left="1440" w:header="708" w:footer="708" w:gutter="0"/>
          <w:pgNumType w:start="1"/>
          <w:cols w:space="720"/>
        </w:sectPr>
      </w:pPr>
      <w:r>
        <w:rPr>
          <w:rFonts w:ascii="Times New Roman" w:eastAsia="Times New Roman" w:hAnsi="Times New Roman" w:cs="Times New Roman"/>
          <w:sz w:val="24"/>
          <w:szCs w:val="24"/>
        </w:rPr>
        <w:t>Finanțarea modernizării locomotivelor electrice și vagoanelor se va realiza în conformitate cu legislația comunitară și națională privind ajutorul de stat.</w:t>
      </w:r>
    </w:p>
    <w:p w:rsidR="003A3C7E" w:rsidRDefault="00BD1A2D">
      <w:pPr>
        <w:shd w:val="clear" w:color="auto" w:fill="A8D08D"/>
        <w:spacing w:line="256"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 Partea 1-</w:t>
      </w:r>
    </w:p>
    <w:tbl>
      <w:tblPr>
        <w:tblStyle w:val="a1"/>
        <w:tblW w:w="139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5"/>
        <w:gridCol w:w="1365"/>
        <w:gridCol w:w="615"/>
        <w:gridCol w:w="705"/>
        <w:gridCol w:w="10110"/>
      </w:tblGrid>
      <w:tr w:rsidR="003A3C7E">
        <w:trPr>
          <w:jc w:val="center"/>
        </w:trPr>
        <w:tc>
          <w:tcPr>
            <w:tcW w:w="2490" w:type="dxa"/>
            <w:gridSpan w:val="2"/>
            <w:tcBorders>
              <w:top w:val="single" w:sz="4" w:space="0" w:color="000000"/>
              <w:left w:val="single" w:sz="4" w:space="0" w:color="000000"/>
              <w:bottom w:val="single" w:sz="4" w:space="0" w:color="000000"/>
              <w:right w:val="single" w:sz="4" w:space="0" w:color="000000"/>
            </w:tcBorders>
            <w:shd w:val="clear" w:color="auto" w:fill="A8D08D"/>
            <w:vAlign w:val="center"/>
          </w:tcPr>
          <w:p w:rsidR="003A3C7E" w:rsidRDefault="00BD1A2D">
            <w:pPr>
              <w:spacing w:after="120"/>
              <w:jc w:val="center"/>
              <w:rPr>
                <w:b/>
              </w:rPr>
            </w:pPr>
            <w:r>
              <w:rPr>
                <w:b/>
              </w:rPr>
              <w:t>Please indicate which of the environmental objectives below require a substantive DNSH a</w:t>
            </w:r>
            <w:r>
              <w:rPr>
                <w:b/>
              </w:rPr>
              <w:t>ssessment of the measure</w:t>
            </w:r>
          </w:p>
        </w:tc>
        <w:tc>
          <w:tcPr>
            <w:tcW w:w="615"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3A3C7E" w:rsidRDefault="00BD1A2D">
            <w:pPr>
              <w:spacing w:after="120"/>
              <w:jc w:val="center"/>
              <w:rPr>
                <w:b/>
              </w:rPr>
            </w:pPr>
            <w:r>
              <w:rPr>
                <w:b/>
              </w:rPr>
              <w:t>Yes</w:t>
            </w:r>
          </w:p>
        </w:tc>
        <w:tc>
          <w:tcPr>
            <w:tcW w:w="705"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3A3C7E" w:rsidRDefault="00BD1A2D">
            <w:pPr>
              <w:spacing w:after="120"/>
              <w:jc w:val="center"/>
              <w:rPr>
                <w:b/>
              </w:rPr>
            </w:pPr>
            <w:r>
              <w:rPr>
                <w:b/>
              </w:rPr>
              <w:t>No</w:t>
            </w:r>
          </w:p>
        </w:tc>
        <w:tc>
          <w:tcPr>
            <w:tcW w:w="10110"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3A3C7E" w:rsidRDefault="00BD1A2D">
            <w:pPr>
              <w:spacing w:after="120"/>
              <w:jc w:val="center"/>
              <w:rPr>
                <w:b/>
              </w:rPr>
            </w:pPr>
            <w:r>
              <w:rPr>
                <w:b/>
              </w:rPr>
              <w:t>Justification if ‘No’ has been selected</w:t>
            </w:r>
          </w:p>
        </w:tc>
      </w:tr>
      <w:tr w:rsidR="003A3C7E">
        <w:trPr>
          <w:trHeight w:val="4890"/>
          <w:jc w:val="center"/>
        </w:trPr>
        <w:tc>
          <w:tcPr>
            <w:tcW w:w="1125" w:type="dxa"/>
            <w:vMerge w:val="restart"/>
            <w:tcBorders>
              <w:top w:val="single" w:sz="4" w:space="0" w:color="000000"/>
              <w:left w:val="single" w:sz="4" w:space="0" w:color="000000"/>
              <w:right w:val="single" w:sz="4" w:space="0" w:color="000000"/>
            </w:tcBorders>
          </w:tcPr>
          <w:p w:rsidR="003A3C7E" w:rsidRDefault="00BD1A2D">
            <w:pPr>
              <w:spacing w:after="120"/>
              <w:jc w:val="both"/>
              <w:rPr>
                <w:b/>
              </w:rPr>
            </w:pPr>
            <w:r>
              <w:rPr>
                <w:b/>
                <w:color w:val="000000"/>
                <w:highlight w:val="white"/>
              </w:rPr>
              <w:t>Climate change mitigation</w:t>
            </w:r>
          </w:p>
        </w:tc>
        <w:tc>
          <w:tcPr>
            <w:tcW w:w="1365" w:type="dxa"/>
            <w:tcBorders>
              <w:top w:val="single" w:sz="4" w:space="0" w:color="000000"/>
              <w:left w:val="single" w:sz="4" w:space="0" w:color="000000"/>
              <w:bottom w:val="single" w:sz="4" w:space="0" w:color="000000"/>
              <w:right w:val="single" w:sz="4" w:space="0" w:color="000000"/>
            </w:tcBorders>
          </w:tcPr>
          <w:p w:rsidR="003A3C7E" w:rsidRDefault="00BD1A2D">
            <w:pPr>
              <w:spacing w:after="120"/>
              <w:rPr>
                <w:b/>
              </w:rPr>
            </w:pPr>
            <w:r>
              <w:rPr>
                <w:b/>
              </w:rPr>
              <w:t>Modernizare materialului rulant – locomotive electrice şi vagoane</w:t>
            </w:r>
          </w:p>
        </w:tc>
        <w:tc>
          <w:tcPr>
            <w:tcW w:w="615" w:type="dxa"/>
            <w:tcBorders>
              <w:top w:val="single" w:sz="4" w:space="0" w:color="000000"/>
              <w:left w:val="single" w:sz="4" w:space="0" w:color="000000"/>
              <w:bottom w:val="single" w:sz="4" w:space="0" w:color="000000"/>
              <w:right w:val="single" w:sz="4" w:space="0" w:color="000000"/>
            </w:tcBorders>
          </w:tcPr>
          <w:p w:rsidR="003A3C7E" w:rsidRDefault="003A3C7E">
            <w:pPr>
              <w:spacing w:after="120"/>
              <w:jc w:val="both"/>
              <w:rPr>
                <w:b/>
              </w:rPr>
            </w:pPr>
          </w:p>
        </w:tc>
        <w:tc>
          <w:tcPr>
            <w:tcW w:w="705" w:type="dxa"/>
            <w:tcBorders>
              <w:top w:val="single" w:sz="4" w:space="0" w:color="000000"/>
              <w:left w:val="single" w:sz="4" w:space="0" w:color="000000"/>
              <w:bottom w:val="single" w:sz="4" w:space="0" w:color="000000"/>
              <w:right w:val="single" w:sz="4" w:space="0" w:color="000000"/>
            </w:tcBorders>
          </w:tcPr>
          <w:p w:rsidR="003A3C7E" w:rsidRDefault="00BD1A2D">
            <w:pPr>
              <w:spacing w:after="120"/>
              <w:jc w:val="center"/>
              <w:rPr>
                <w:b/>
              </w:rPr>
            </w:pPr>
            <w:r>
              <w:rPr>
                <w:b/>
              </w:rPr>
              <w:t>X</w:t>
            </w:r>
          </w:p>
        </w:tc>
        <w:tc>
          <w:tcPr>
            <w:tcW w:w="10110" w:type="dxa"/>
            <w:tcBorders>
              <w:top w:val="single" w:sz="4" w:space="0" w:color="000000"/>
              <w:left w:val="single" w:sz="4" w:space="0" w:color="000000"/>
              <w:bottom w:val="single" w:sz="4" w:space="0" w:color="000000"/>
              <w:right w:val="single" w:sz="4" w:space="0" w:color="000000"/>
            </w:tcBorders>
          </w:tcPr>
          <w:p w:rsidR="003A3C7E" w:rsidRDefault="00BD1A2D">
            <w:pPr>
              <w:pStyle w:val="Heading2"/>
              <w:ind w:left="0"/>
              <w:jc w:val="both"/>
              <w:outlineLvl w:val="1"/>
              <w:rPr>
                <w:rFonts w:ascii="Times New Roman" w:eastAsia="Times New Roman" w:hAnsi="Times New Roman" w:cs="Times New Roman"/>
                <w:b w:val="0"/>
              </w:rPr>
            </w:pPr>
            <w:r>
              <w:rPr>
                <w:rFonts w:ascii="Times New Roman" w:eastAsia="Times New Roman" w:hAnsi="Times New Roman" w:cs="Times New Roman"/>
                <w:b w:val="0"/>
              </w:rPr>
              <w:t xml:space="preserve">Se estimează că activitatea sprijinită prin această submăsură nu va avea un impact semnificativ previzibil asupra obiectivului de mediu privind atenuarea schimbărilor climatice, luȃnd în considerare atȃt efectele directe de pe parcursul implementării, cȃt </w:t>
            </w:r>
            <w:r>
              <w:rPr>
                <w:rFonts w:ascii="Times New Roman" w:eastAsia="Times New Roman" w:hAnsi="Times New Roman" w:cs="Times New Roman"/>
                <w:b w:val="0"/>
              </w:rPr>
              <w:t>și efectele primare indirecte de pe parcursul duratei de viaţă a investiţiei, întrucȃt materialul rulant modernizat reprezintă material rulant cu emisii zero.</w:t>
            </w:r>
          </w:p>
          <w:p w:rsidR="003A3C7E" w:rsidRDefault="003A3C7E">
            <w:pPr>
              <w:pStyle w:val="Heading2"/>
              <w:ind w:left="0"/>
              <w:jc w:val="both"/>
              <w:outlineLvl w:val="1"/>
              <w:rPr>
                <w:rFonts w:ascii="Times New Roman" w:eastAsia="Times New Roman" w:hAnsi="Times New Roman" w:cs="Times New Roman"/>
                <w:b w:val="0"/>
              </w:rPr>
            </w:pPr>
          </w:p>
          <w:p w:rsidR="003A3C7E" w:rsidRDefault="00BD1A2D">
            <w:pPr>
              <w:pStyle w:val="Heading2"/>
              <w:ind w:left="0"/>
              <w:jc w:val="both"/>
              <w:outlineLvl w:val="1"/>
              <w:rPr>
                <w:rFonts w:ascii="Times New Roman" w:eastAsia="Times New Roman" w:hAnsi="Times New Roman" w:cs="Times New Roman"/>
                <w:b w:val="0"/>
              </w:rPr>
            </w:pPr>
            <w:r>
              <w:rPr>
                <w:rFonts w:ascii="Times New Roman" w:eastAsia="Times New Roman" w:hAnsi="Times New Roman" w:cs="Times New Roman"/>
                <w:b w:val="0"/>
              </w:rPr>
              <w:t xml:space="preserve">Achiziţia de material rulant electric este eligibilă în cadrul domeniului de intervenție </w:t>
            </w:r>
            <w:r>
              <w:rPr>
                <w:rFonts w:ascii="Times New Roman" w:eastAsia="Times New Roman" w:hAnsi="Times New Roman" w:cs="Times New Roman"/>
                <w:b w:val="0"/>
                <w:i/>
              </w:rPr>
              <w:t xml:space="preserve">072a - </w:t>
            </w:r>
            <w:r>
              <w:rPr>
                <w:rFonts w:ascii="Times New Roman" w:eastAsia="Times New Roman" w:hAnsi="Times New Roman" w:cs="Times New Roman"/>
                <w:b w:val="0"/>
                <w:i/>
              </w:rPr>
              <w:t xml:space="preserve">Active feroviare mobile cu emisii zero/electrice </w:t>
            </w:r>
            <w:r>
              <w:rPr>
                <w:rFonts w:ascii="Times New Roman" w:eastAsia="Times New Roman" w:hAnsi="Times New Roman" w:cs="Times New Roman"/>
                <w:b w:val="0"/>
              </w:rPr>
              <w:t>din anexa VI la Regulamentul (UE) nr. 2021/241, cu un coeficient de 100% pentru obiectivul privind schimbările climatice. Având în vedere faptul că submăsura sprijină cu un coeficient de 100% obiectivul priv</w:t>
            </w:r>
            <w:r>
              <w:rPr>
                <w:rFonts w:ascii="Times New Roman" w:eastAsia="Times New Roman" w:hAnsi="Times New Roman" w:cs="Times New Roman"/>
                <w:b w:val="0"/>
              </w:rPr>
              <w:t>ind atenuarea schimbărilor climatice, se consideră îndeplinit principiul DNSH pentru acest obiectiv de mediu, investiția sprijinind trecerea la o economie neutră din punct de vedere climatic.</w:t>
            </w:r>
          </w:p>
          <w:p w:rsidR="003A3C7E" w:rsidRDefault="003A3C7E">
            <w:pPr>
              <w:pStyle w:val="Heading2"/>
              <w:ind w:left="0"/>
              <w:jc w:val="both"/>
              <w:outlineLvl w:val="1"/>
              <w:rPr>
                <w:rFonts w:ascii="Times New Roman" w:eastAsia="Times New Roman" w:hAnsi="Times New Roman" w:cs="Times New Roman"/>
                <w:b w:val="0"/>
              </w:rPr>
            </w:pPr>
          </w:p>
          <w:p w:rsidR="003A3C7E" w:rsidRDefault="00BD1A2D">
            <w:pPr>
              <w:jc w:val="both"/>
            </w:pPr>
            <w:r>
              <w:t xml:space="preserve">În asigurarea faptului că această opțiune de transport respectă mediul, la fel de importantă este și decarbonizarea producției de energie electrică, în linie cu obiectivele din Planul Național Integrat în domeniul Energiei și Schimbărilor Climatice 2021 – </w:t>
            </w:r>
            <w:r>
              <w:t xml:space="preserve">2030 (PNIESC) – document aflat în proces de actualizare. În PNRR sunt prevăzute o serie de măsuri specifice de decarbonizare a producției de energie electrică, ce se regăsesc în componenta </w:t>
            </w:r>
            <w:r>
              <w:rPr>
                <w:i/>
              </w:rPr>
              <w:t>6 - Energie regenerabilă și eficiență energetică</w:t>
            </w:r>
            <w:r>
              <w:t xml:space="preserve"> din </w:t>
            </w:r>
            <w:r>
              <w:rPr>
                <w:i/>
              </w:rPr>
              <w:t>Pilonul I - Tr</w:t>
            </w:r>
            <w:r>
              <w:rPr>
                <w:i/>
              </w:rPr>
              <w:t>anziția verde.</w:t>
            </w:r>
          </w:p>
        </w:tc>
      </w:tr>
      <w:tr w:rsidR="003A3C7E">
        <w:trPr>
          <w:trHeight w:val="699"/>
          <w:jc w:val="center"/>
        </w:trPr>
        <w:tc>
          <w:tcPr>
            <w:tcW w:w="1125" w:type="dxa"/>
            <w:vMerge/>
            <w:tcBorders>
              <w:top w:val="single" w:sz="4" w:space="0" w:color="000000"/>
              <w:left w:val="single" w:sz="4" w:space="0" w:color="000000"/>
              <w:right w:val="single" w:sz="4" w:space="0" w:color="000000"/>
            </w:tcBorders>
          </w:tcPr>
          <w:p w:rsidR="003A3C7E" w:rsidRDefault="003A3C7E">
            <w:pPr>
              <w:widowControl w:val="0"/>
              <w:pBdr>
                <w:top w:val="nil"/>
                <w:left w:val="nil"/>
                <w:bottom w:val="nil"/>
                <w:right w:val="nil"/>
                <w:between w:val="nil"/>
              </w:pBdr>
              <w:spacing w:line="276" w:lineRule="auto"/>
            </w:pPr>
          </w:p>
        </w:tc>
        <w:tc>
          <w:tcPr>
            <w:tcW w:w="1365" w:type="dxa"/>
            <w:tcBorders>
              <w:top w:val="single" w:sz="4" w:space="0" w:color="000000"/>
              <w:left w:val="single" w:sz="4" w:space="0" w:color="000000"/>
              <w:bottom w:val="single" w:sz="4" w:space="0" w:color="000000"/>
              <w:right w:val="single" w:sz="4" w:space="0" w:color="000000"/>
            </w:tcBorders>
          </w:tcPr>
          <w:p w:rsidR="003A3C7E" w:rsidRDefault="00BD1A2D">
            <w:pPr>
              <w:spacing w:after="120"/>
              <w:rPr>
                <w:b/>
              </w:rPr>
            </w:pPr>
            <w:r>
              <w:rPr>
                <w:b/>
              </w:rPr>
              <w:t xml:space="preserve">Sistemul european de management al </w:t>
            </w:r>
            <w:r>
              <w:rPr>
                <w:b/>
              </w:rPr>
              <w:lastRenderedPageBreak/>
              <w:t>traficului feroviar (ERTMS</w:t>
            </w:r>
          </w:p>
        </w:tc>
        <w:tc>
          <w:tcPr>
            <w:tcW w:w="615" w:type="dxa"/>
            <w:tcBorders>
              <w:top w:val="single" w:sz="4" w:space="0" w:color="000000"/>
              <w:left w:val="single" w:sz="4" w:space="0" w:color="000000"/>
              <w:bottom w:val="single" w:sz="4" w:space="0" w:color="000000"/>
              <w:right w:val="single" w:sz="4" w:space="0" w:color="000000"/>
            </w:tcBorders>
          </w:tcPr>
          <w:p w:rsidR="003A3C7E" w:rsidRDefault="003A3C7E">
            <w:pPr>
              <w:spacing w:after="120"/>
              <w:jc w:val="both"/>
              <w:rPr>
                <w:b/>
              </w:rPr>
            </w:pPr>
          </w:p>
        </w:tc>
        <w:tc>
          <w:tcPr>
            <w:tcW w:w="705" w:type="dxa"/>
            <w:tcBorders>
              <w:top w:val="single" w:sz="4" w:space="0" w:color="000000"/>
              <w:left w:val="single" w:sz="4" w:space="0" w:color="000000"/>
              <w:bottom w:val="single" w:sz="4" w:space="0" w:color="000000"/>
              <w:right w:val="single" w:sz="4" w:space="0" w:color="000000"/>
            </w:tcBorders>
          </w:tcPr>
          <w:p w:rsidR="003A3C7E" w:rsidRDefault="00BD1A2D">
            <w:pPr>
              <w:spacing w:after="120"/>
              <w:jc w:val="center"/>
              <w:rPr>
                <w:b/>
              </w:rPr>
            </w:pPr>
            <w:r>
              <w:rPr>
                <w:b/>
              </w:rPr>
              <w:t>X</w:t>
            </w:r>
          </w:p>
        </w:tc>
        <w:tc>
          <w:tcPr>
            <w:tcW w:w="10110" w:type="dxa"/>
            <w:tcBorders>
              <w:top w:val="single" w:sz="4" w:space="0" w:color="000000"/>
              <w:left w:val="single" w:sz="4" w:space="0" w:color="000000"/>
              <w:bottom w:val="single" w:sz="4" w:space="0" w:color="000000"/>
              <w:right w:val="single" w:sz="4" w:space="0" w:color="000000"/>
            </w:tcBorders>
          </w:tcPr>
          <w:p w:rsidR="003A3C7E" w:rsidRDefault="00BD1A2D">
            <w:pPr>
              <w:spacing w:after="120" w:line="259" w:lineRule="auto"/>
              <w:jc w:val="both"/>
            </w:pPr>
            <w:r>
              <w:t>Locomotivele electrice modernizate vor fi prevăzute şi cu instalație ERTMS on-board.</w:t>
            </w:r>
          </w:p>
          <w:p w:rsidR="003A3C7E" w:rsidRDefault="00BD1A2D">
            <w:pPr>
              <w:spacing w:after="120" w:line="259" w:lineRule="auto"/>
              <w:jc w:val="both"/>
            </w:pPr>
            <w:r>
              <w:t xml:space="preserve">Această submăsură este eligibilă în cadrul domeniului de intervenție </w:t>
            </w:r>
            <w:r>
              <w:rPr>
                <w:i/>
              </w:rPr>
              <w:t xml:space="preserve">071 - Sistemul european de management al traficului feroviar (ERTMS) </w:t>
            </w:r>
            <w:r>
              <w:t>din anexa VI la Regulamentul (UE) nr. 2021/241, cu un coeficient de 40% pentru obiectivul privind schimbările climatice.</w:t>
            </w:r>
          </w:p>
          <w:p w:rsidR="003A3C7E" w:rsidRDefault="00BD1A2D">
            <w:pPr>
              <w:spacing w:after="120" w:line="259" w:lineRule="auto"/>
              <w:jc w:val="both"/>
            </w:pPr>
            <w:r>
              <w:lastRenderedPageBreak/>
              <w:t>ERTMS este compus din două subsisteme bazate pe software: subsiste</w:t>
            </w:r>
            <w:r>
              <w:t>mul de cale (la sol) și subsistemul de la bord, din care doar subsistemul de la bord face obiectul prezentei submăsuri. Sistemul de cale și sistemul instalat la bordul vehiculelor vor face schimb de informații permițând supravegherea continuă a vitezei max</w:t>
            </w:r>
            <w:r>
              <w:t>ime admise pentru funcționare.</w:t>
            </w:r>
          </w:p>
          <w:p w:rsidR="003A3C7E" w:rsidRDefault="00BD1A2D">
            <w:pPr>
              <w:spacing w:after="120" w:line="259" w:lineRule="auto"/>
              <w:jc w:val="both"/>
            </w:pPr>
            <w:r>
              <w:t>În afară de creșterea gradului de interoperabilitate la nivelul căilor ferate de la nivel european, ERTMS are potențialul de a îmbunătăți capacitatea, siguranţa și viteza transportului feroviar. În situaţia în care ar fi impl</w:t>
            </w:r>
            <w:r>
              <w:t>ementat integral, ERTMS ar ajuta transportul feroviar să devină mai competitiv comparativ cu alte moduri de transport, contribuind astfel la reducerea emisiilor de GES din transportul rutier şi la îndeplinirea obiectivelor de mediu ale UE.</w:t>
            </w:r>
          </w:p>
          <w:p w:rsidR="003A3C7E" w:rsidRDefault="00BD1A2D">
            <w:pPr>
              <w:pStyle w:val="Heading2"/>
              <w:ind w:left="0"/>
              <w:jc w:val="both"/>
              <w:outlineLvl w:val="1"/>
              <w:rPr>
                <w:rFonts w:ascii="Times New Roman" w:eastAsia="Times New Roman" w:hAnsi="Times New Roman" w:cs="Times New Roman"/>
                <w:b w:val="0"/>
              </w:rPr>
            </w:pPr>
            <w:r>
              <w:rPr>
                <w:rFonts w:ascii="Times New Roman" w:eastAsia="Times New Roman" w:hAnsi="Times New Roman" w:cs="Times New Roman"/>
                <w:b w:val="0"/>
              </w:rPr>
              <w:t xml:space="preserve">Se estimează că </w:t>
            </w:r>
            <w:r>
              <w:rPr>
                <w:rFonts w:ascii="Times New Roman" w:eastAsia="Times New Roman" w:hAnsi="Times New Roman" w:cs="Times New Roman"/>
                <w:b w:val="0"/>
              </w:rPr>
              <w:t>activitatea sprijinită prin această submăsură nu va avea un impact semnificativ previzibil asupra acestui obiectiv de mediu, luȃnd în considerare atȃt efectele directe de pe parcursul implementării, cȃt și efectele indirecte de pe parcursul duratei de viaţ</w:t>
            </w:r>
            <w:r>
              <w:rPr>
                <w:rFonts w:ascii="Times New Roman" w:eastAsia="Times New Roman" w:hAnsi="Times New Roman" w:cs="Times New Roman"/>
                <w:b w:val="0"/>
              </w:rPr>
              <w:t>ă a investiţiilor.</w:t>
            </w:r>
          </w:p>
        </w:tc>
      </w:tr>
      <w:tr w:rsidR="003A3C7E">
        <w:trPr>
          <w:trHeight w:val="795"/>
          <w:jc w:val="center"/>
        </w:trPr>
        <w:tc>
          <w:tcPr>
            <w:tcW w:w="2490" w:type="dxa"/>
            <w:gridSpan w:val="2"/>
            <w:tcBorders>
              <w:top w:val="single" w:sz="4" w:space="0" w:color="000000"/>
              <w:left w:val="single" w:sz="4" w:space="0" w:color="000000"/>
              <w:right w:val="single" w:sz="4" w:space="0" w:color="000000"/>
            </w:tcBorders>
          </w:tcPr>
          <w:p w:rsidR="003A3C7E" w:rsidRDefault="00BD1A2D">
            <w:pPr>
              <w:spacing w:after="120"/>
              <w:rPr>
                <w:b/>
              </w:rPr>
            </w:pPr>
            <w:r>
              <w:rPr>
                <w:b/>
              </w:rPr>
              <w:lastRenderedPageBreak/>
              <w:t>Climate change adaptation</w:t>
            </w:r>
          </w:p>
        </w:tc>
        <w:tc>
          <w:tcPr>
            <w:tcW w:w="615" w:type="dxa"/>
            <w:tcBorders>
              <w:top w:val="single" w:sz="4" w:space="0" w:color="000000"/>
              <w:left w:val="single" w:sz="4" w:space="0" w:color="000000"/>
              <w:bottom w:val="single" w:sz="4" w:space="0" w:color="000000"/>
              <w:right w:val="single" w:sz="4" w:space="0" w:color="000000"/>
            </w:tcBorders>
          </w:tcPr>
          <w:p w:rsidR="003A3C7E" w:rsidRDefault="003A3C7E">
            <w:pPr>
              <w:spacing w:after="120"/>
              <w:jc w:val="center"/>
              <w:rPr>
                <w:b/>
              </w:rPr>
            </w:pPr>
          </w:p>
        </w:tc>
        <w:tc>
          <w:tcPr>
            <w:tcW w:w="705" w:type="dxa"/>
            <w:tcBorders>
              <w:top w:val="single" w:sz="4" w:space="0" w:color="000000"/>
              <w:left w:val="single" w:sz="4" w:space="0" w:color="000000"/>
              <w:bottom w:val="single" w:sz="4" w:space="0" w:color="000000"/>
              <w:right w:val="single" w:sz="4" w:space="0" w:color="000000"/>
            </w:tcBorders>
          </w:tcPr>
          <w:p w:rsidR="003A3C7E" w:rsidRDefault="00BD1A2D">
            <w:pPr>
              <w:spacing w:after="120"/>
              <w:jc w:val="center"/>
              <w:rPr>
                <w:b/>
              </w:rPr>
            </w:pPr>
            <w:r>
              <w:rPr>
                <w:b/>
              </w:rPr>
              <w:t>X</w:t>
            </w:r>
          </w:p>
        </w:tc>
        <w:tc>
          <w:tcPr>
            <w:tcW w:w="10110" w:type="dxa"/>
            <w:tcBorders>
              <w:top w:val="single" w:sz="4" w:space="0" w:color="000000"/>
              <w:left w:val="single" w:sz="4" w:space="0" w:color="000000"/>
              <w:bottom w:val="single" w:sz="4" w:space="0" w:color="000000"/>
              <w:right w:val="single" w:sz="4" w:space="0" w:color="000000"/>
            </w:tcBorders>
          </w:tcPr>
          <w:p w:rsidR="003A3C7E" w:rsidRDefault="00BD1A2D">
            <w:pPr>
              <w:spacing w:after="120"/>
              <w:jc w:val="both"/>
            </w:pPr>
            <w:r>
              <w:t>Submăsura privind modernizarea materialului rulant (locomotive electrice şi vagoane) nu are un impact previzibil semnificativ asupra obiectivului de mediu privind adaptarea la schimbările climatice, luȃnd în considerare efectele directe și efectele primare</w:t>
            </w:r>
            <w:r>
              <w:t xml:space="preserve"> indirecte de pe parcursul implementării.</w:t>
            </w:r>
          </w:p>
        </w:tc>
      </w:tr>
      <w:tr w:rsidR="003A3C7E">
        <w:trPr>
          <w:trHeight w:val="696"/>
          <w:jc w:val="center"/>
        </w:trPr>
        <w:tc>
          <w:tcPr>
            <w:tcW w:w="2490" w:type="dxa"/>
            <w:gridSpan w:val="2"/>
            <w:tcBorders>
              <w:top w:val="single" w:sz="4" w:space="0" w:color="000000"/>
              <w:left w:val="single" w:sz="4" w:space="0" w:color="000000"/>
              <w:right w:val="single" w:sz="4" w:space="0" w:color="000000"/>
            </w:tcBorders>
            <w:shd w:val="clear" w:color="auto" w:fill="auto"/>
          </w:tcPr>
          <w:p w:rsidR="003A3C7E" w:rsidRDefault="00BD1A2D">
            <w:pPr>
              <w:spacing w:after="120"/>
              <w:rPr>
                <w:b/>
              </w:rPr>
            </w:pPr>
            <w:r>
              <w:rPr>
                <w:b/>
              </w:rPr>
              <w:t>The sustainable use and protection of water and marine resources</w:t>
            </w:r>
          </w:p>
        </w:tc>
        <w:tc>
          <w:tcPr>
            <w:tcW w:w="615" w:type="dxa"/>
            <w:tcBorders>
              <w:top w:val="single" w:sz="4" w:space="0" w:color="000000"/>
              <w:left w:val="single" w:sz="4" w:space="0" w:color="000000"/>
              <w:bottom w:val="single" w:sz="4" w:space="0" w:color="000000"/>
              <w:right w:val="single" w:sz="4" w:space="0" w:color="000000"/>
            </w:tcBorders>
          </w:tcPr>
          <w:p w:rsidR="003A3C7E" w:rsidRDefault="003A3C7E">
            <w:pPr>
              <w:spacing w:after="120"/>
              <w:jc w:val="center"/>
              <w:rPr>
                <w:b/>
              </w:rPr>
            </w:pPr>
          </w:p>
        </w:tc>
        <w:tc>
          <w:tcPr>
            <w:tcW w:w="705" w:type="dxa"/>
            <w:tcBorders>
              <w:top w:val="single" w:sz="4" w:space="0" w:color="000000"/>
              <w:left w:val="single" w:sz="4" w:space="0" w:color="000000"/>
              <w:bottom w:val="single" w:sz="4" w:space="0" w:color="000000"/>
              <w:right w:val="single" w:sz="4" w:space="0" w:color="000000"/>
            </w:tcBorders>
          </w:tcPr>
          <w:p w:rsidR="003A3C7E" w:rsidRDefault="00BD1A2D">
            <w:pPr>
              <w:spacing w:after="120"/>
              <w:jc w:val="center"/>
              <w:rPr>
                <w:b/>
              </w:rPr>
            </w:pPr>
            <w:r>
              <w:rPr>
                <w:b/>
              </w:rPr>
              <w:t>X</w:t>
            </w:r>
          </w:p>
        </w:tc>
        <w:tc>
          <w:tcPr>
            <w:tcW w:w="10110" w:type="dxa"/>
            <w:tcBorders>
              <w:top w:val="single" w:sz="4" w:space="0" w:color="000000"/>
              <w:left w:val="single" w:sz="4" w:space="0" w:color="000000"/>
              <w:bottom w:val="single" w:sz="4" w:space="0" w:color="000000"/>
              <w:right w:val="single" w:sz="4" w:space="0" w:color="000000"/>
            </w:tcBorders>
          </w:tcPr>
          <w:p w:rsidR="003A3C7E" w:rsidRDefault="00BD1A2D">
            <w:pPr>
              <w:spacing w:after="120"/>
              <w:jc w:val="both"/>
            </w:pPr>
            <w:r>
              <w:t>Submăsura privind modernizarea materialului rulant (locomotive electrice şi vagoane) nu are un impact previzibil semnificativ asupra obiectivului</w:t>
            </w:r>
            <w:r>
              <w:t xml:space="preserve"> de mediu privind utilizarea sustenabilă  şi protecţia apelor şi a resurselor marine, luȃnd în considerare efectele directe și efectele primare indirecte de pe parcursul implementării.</w:t>
            </w:r>
          </w:p>
        </w:tc>
      </w:tr>
      <w:tr w:rsidR="003A3C7E">
        <w:trPr>
          <w:trHeight w:val="1612"/>
          <w:jc w:val="center"/>
        </w:trPr>
        <w:tc>
          <w:tcPr>
            <w:tcW w:w="2490" w:type="dxa"/>
            <w:gridSpan w:val="2"/>
            <w:tcBorders>
              <w:top w:val="single" w:sz="4" w:space="0" w:color="000000"/>
              <w:left w:val="single" w:sz="4" w:space="0" w:color="000000"/>
              <w:right w:val="single" w:sz="4" w:space="0" w:color="000000"/>
            </w:tcBorders>
            <w:shd w:val="clear" w:color="auto" w:fill="auto"/>
          </w:tcPr>
          <w:p w:rsidR="003A3C7E" w:rsidRDefault="00BD1A2D">
            <w:pPr>
              <w:spacing w:after="120"/>
              <w:rPr>
                <w:b/>
              </w:rPr>
            </w:pPr>
            <w:r>
              <w:rPr>
                <w:b/>
              </w:rPr>
              <w:t>The circular economy, including waste prevention and recycling</w:t>
            </w:r>
          </w:p>
        </w:tc>
        <w:tc>
          <w:tcPr>
            <w:tcW w:w="615" w:type="dxa"/>
            <w:tcBorders>
              <w:top w:val="single" w:sz="4" w:space="0" w:color="000000"/>
              <w:left w:val="single" w:sz="4" w:space="0" w:color="000000"/>
              <w:bottom w:val="single" w:sz="4" w:space="0" w:color="000000"/>
              <w:right w:val="single" w:sz="4" w:space="0" w:color="000000"/>
            </w:tcBorders>
          </w:tcPr>
          <w:p w:rsidR="003A3C7E" w:rsidRDefault="00BD1A2D">
            <w:pPr>
              <w:spacing w:after="120"/>
              <w:jc w:val="center"/>
              <w:rPr>
                <w:b/>
              </w:rPr>
            </w:pPr>
            <w:r>
              <w:rPr>
                <w:b/>
              </w:rPr>
              <w:t>X</w:t>
            </w:r>
          </w:p>
        </w:tc>
        <w:tc>
          <w:tcPr>
            <w:tcW w:w="705" w:type="dxa"/>
            <w:tcBorders>
              <w:top w:val="single" w:sz="4" w:space="0" w:color="000000"/>
              <w:left w:val="single" w:sz="4" w:space="0" w:color="000000"/>
              <w:bottom w:val="single" w:sz="4" w:space="0" w:color="000000"/>
              <w:right w:val="single" w:sz="4" w:space="0" w:color="000000"/>
            </w:tcBorders>
          </w:tcPr>
          <w:p w:rsidR="003A3C7E" w:rsidRDefault="003A3C7E">
            <w:pPr>
              <w:spacing w:after="120"/>
              <w:jc w:val="center"/>
              <w:rPr>
                <w:b/>
              </w:rPr>
            </w:pPr>
          </w:p>
        </w:tc>
        <w:tc>
          <w:tcPr>
            <w:tcW w:w="10110" w:type="dxa"/>
            <w:tcBorders>
              <w:top w:val="single" w:sz="4" w:space="0" w:color="000000"/>
              <w:left w:val="single" w:sz="4" w:space="0" w:color="000000"/>
              <w:bottom w:val="single" w:sz="4" w:space="0" w:color="000000"/>
              <w:right w:val="single" w:sz="4" w:space="0" w:color="000000"/>
            </w:tcBorders>
          </w:tcPr>
          <w:p w:rsidR="003A3C7E" w:rsidRDefault="003A3C7E">
            <w:pPr>
              <w:spacing w:after="120"/>
              <w:jc w:val="both"/>
            </w:pPr>
          </w:p>
          <w:p w:rsidR="003A3C7E" w:rsidRDefault="003A3C7E"/>
          <w:p w:rsidR="003A3C7E" w:rsidRDefault="003A3C7E"/>
          <w:p w:rsidR="003A3C7E" w:rsidRDefault="003A3C7E"/>
        </w:tc>
      </w:tr>
      <w:tr w:rsidR="003A3C7E">
        <w:trPr>
          <w:trHeight w:val="171"/>
          <w:jc w:val="center"/>
        </w:trPr>
        <w:tc>
          <w:tcPr>
            <w:tcW w:w="2490" w:type="dxa"/>
            <w:gridSpan w:val="2"/>
            <w:tcBorders>
              <w:top w:val="single" w:sz="4" w:space="0" w:color="000000"/>
              <w:left w:val="single" w:sz="4" w:space="0" w:color="000000"/>
              <w:right w:val="single" w:sz="4" w:space="0" w:color="000000"/>
            </w:tcBorders>
          </w:tcPr>
          <w:p w:rsidR="003A3C7E" w:rsidRDefault="00BD1A2D">
            <w:pPr>
              <w:spacing w:after="120"/>
              <w:rPr>
                <w:b/>
              </w:rPr>
            </w:pPr>
            <w:r>
              <w:rPr>
                <w:b/>
              </w:rPr>
              <w:t>Pollution prevention and control to air, water or land</w:t>
            </w:r>
          </w:p>
        </w:tc>
        <w:tc>
          <w:tcPr>
            <w:tcW w:w="615" w:type="dxa"/>
            <w:tcBorders>
              <w:top w:val="single" w:sz="4" w:space="0" w:color="000000"/>
              <w:left w:val="single" w:sz="4" w:space="0" w:color="000000"/>
              <w:bottom w:val="single" w:sz="4" w:space="0" w:color="000000"/>
              <w:right w:val="single" w:sz="4" w:space="0" w:color="000000"/>
            </w:tcBorders>
          </w:tcPr>
          <w:p w:rsidR="003A3C7E" w:rsidRDefault="003A3C7E">
            <w:pPr>
              <w:spacing w:after="120"/>
              <w:jc w:val="center"/>
              <w:rPr>
                <w:b/>
              </w:rPr>
            </w:pPr>
          </w:p>
        </w:tc>
        <w:tc>
          <w:tcPr>
            <w:tcW w:w="705" w:type="dxa"/>
            <w:tcBorders>
              <w:top w:val="single" w:sz="4" w:space="0" w:color="000000"/>
              <w:left w:val="single" w:sz="4" w:space="0" w:color="000000"/>
              <w:bottom w:val="single" w:sz="4" w:space="0" w:color="000000"/>
              <w:right w:val="single" w:sz="4" w:space="0" w:color="000000"/>
            </w:tcBorders>
          </w:tcPr>
          <w:p w:rsidR="003A3C7E" w:rsidRDefault="00BD1A2D">
            <w:pPr>
              <w:spacing w:after="120"/>
              <w:jc w:val="center"/>
              <w:rPr>
                <w:b/>
              </w:rPr>
            </w:pPr>
            <w:r>
              <w:rPr>
                <w:b/>
              </w:rPr>
              <w:t>X</w:t>
            </w:r>
          </w:p>
        </w:tc>
        <w:tc>
          <w:tcPr>
            <w:tcW w:w="10110" w:type="dxa"/>
            <w:tcBorders>
              <w:top w:val="single" w:sz="4" w:space="0" w:color="000000"/>
              <w:left w:val="single" w:sz="4" w:space="0" w:color="000000"/>
              <w:bottom w:val="single" w:sz="4" w:space="0" w:color="000000"/>
              <w:right w:val="single" w:sz="4" w:space="0" w:color="000000"/>
            </w:tcBorders>
          </w:tcPr>
          <w:p w:rsidR="003A3C7E" w:rsidRDefault="00BD1A2D">
            <w:pPr>
              <w:spacing w:after="120"/>
              <w:jc w:val="both"/>
            </w:pPr>
            <w:r>
              <w:t>Submăsura privind modernizarea materialului rulant (locomotive electrice şi vagoane) nu are un impact previzibil semnificativ asupra obiectivului de mediu privind prevenirea şi controlul poluării a</w:t>
            </w:r>
            <w:r>
              <w:t xml:space="preserve">erului, apei </w:t>
            </w:r>
            <w:r>
              <w:lastRenderedPageBreak/>
              <w:t>şi solului, luȃnd în considerare efectele directe și efectele primare indirecte de pe parcursul implementării.</w:t>
            </w:r>
          </w:p>
          <w:p w:rsidR="003A3C7E" w:rsidRDefault="00BD1A2D">
            <w:pPr>
              <w:spacing w:after="120"/>
              <w:jc w:val="both"/>
            </w:pPr>
            <w:r>
              <w:t>Societăţile care vor presta serviciile de modernizare a locomotivelor electrice şi a vagoanelor au obligaţia legală de a respecta no</w:t>
            </w:r>
            <w:r>
              <w:t xml:space="preserve">rmele de protecţia mediului, în ceea ce priveşte prevenirea poluării aerului, apei şi solului, pe tot parcursul procesului de modernizare, activităţile de fabricaţie şi reparaţii ale materialului rulant fiind supuse procedurii de emitere a autorizaţiei de </w:t>
            </w:r>
            <w:r>
              <w:t>mediu (a se vedea nr. OUG 195/2005 şi Ordinul MMDD nr. 1798/2007).</w:t>
            </w:r>
          </w:p>
          <w:p w:rsidR="003A3C7E" w:rsidRDefault="00BD1A2D">
            <w:pPr>
              <w:spacing w:after="120"/>
              <w:jc w:val="both"/>
            </w:pPr>
            <w:r>
              <w:t>Pe perioada de exploatare a materialului rulant modernizat, acesta vor înregistra o reducerea consumului specific de energie electrică (faţă de situaţia iniţială) şi de asemenea, urmare a î</w:t>
            </w:r>
            <w:r>
              <w:t>mbunătăţirii condiţiilor tehnice, o îmbunătăţire a nivelului de zgomot şi de vibraţii.</w:t>
            </w:r>
          </w:p>
        </w:tc>
      </w:tr>
      <w:tr w:rsidR="003A3C7E">
        <w:trPr>
          <w:jc w:val="center"/>
        </w:trPr>
        <w:tc>
          <w:tcPr>
            <w:tcW w:w="2490" w:type="dxa"/>
            <w:gridSpan w:val="2"/>
            <w:tcBorders>
              <w:top w:val="single" w:sz="4" w:space="0" w:color="000000"/>
              <w:left w:val="single" w:sz="4" w:space="0" w:color="000000"/>
              <w:bottom w:val="single" w:sz="4" w:space="0" w:color="000000"/>
              <w:right w:val="single" w:sz="4" w:space="0" w:color="000000"/>
            </w:tcBorders>
          </w:tcPr>
          <w:p w:rsidR="003A3C7E" w:rsidRDefault="00BD1A2D">
            <w:pPr>
              <w:spacing w:after="120"/>
              <w:rPr>
                <w:b/>
              </w:rPr>
            </w:pPr>
            <w:r>
              <w:rPr>
                <w:b/>
              </w:rPr>
              <w:lastRenderedPageBreak/>
              <w:t>The protection and restoration of biodiversity and ecosystems</w:t>
            </w:r>
          </w:p>
        </w:tc>
        <w:tc>
          <w:tcPr>
            <w:tcW w:w="615" w:type="dxa"/>
            <w:tcBorders>
              <w:top w:val="single" w:sz="4" w:space="0" w:color="000000"/>
              <w:left w:val="single" w:sz="4" w:space="0" w:color="000000"/>
              <w:bottom w:val="single" w:sz="4" w:space="0" w:color="000000"/>
              <w:right w:val="single" w:sz="4" w:space="0" w:color="000000"/>
            </w:tcBorders>
          </w:tcPr>
          <w:p w:rsidR="003A3C7E" w:rsidRDefault="003A3C7E">
            <w:pPr>
              <w:spacing w:after="120"/>
              <w:jc w:val="both"/>
              <w:rPr>
                <w:b/>
              </w:rPr>
            </w:pPr>
          </w:p>
        </w:tc>
        <w:tc>
          <w:tcPr>
            <w:tcW w:w="705" w:type="dxa"/>
            <w:tcBorders>
              <w:top w:val="single" w:sz="4" w:space="0" w:color="000000"/>
              <w:left w:val="single" w:sz="4" w:space="0" w:color="000000"/>
              <w:bottom w:val="single" w:sz="4" w:space="0" w:color="000000"/>
              <w:right w:val="single" w:sz="4" w:space="0" w:color="000000"/>
            </w:tcBorders>
          </w:tcPr>
          <w:p w:rsidR="003A3C7E" w:rsidRDefault="00BD1A2D">
            <w:pPr>
              <w:spacing w:after="120"/>
              <w:jc w:val="center"/>
              <w:rPr>
                <w:b/>
              </w:rPr>
            </w:pPr>
            <w:r>
              <w:rPr>
                <w:b/>
              </w:rPr>
              <w:t>X</w:t>
            </w:r>
          </w:p>
        </w:tc>
        <w:tc>
          <w:tcPr>
            <w:tcW w:w="10110" w:type="dxa"/>
            <w:tcBorders>
              <w:top w:val="single" w:sz="4" w:space="0" w:color="000000"/>
              <w:left w:val="single" w:sz="4" w:space="0" w:color="000000"/>
              <w:bottom w:val="single" w:sz="4" w:space="0" w:color="000000"/>
              <w:right w:val="single" w:sz="4" w:space="0" w:color="000000"/>
            </w:tcBorders>
          </w:tcPr>
          <w:p w:rsidR="003A3C7E" w:rsidRDefault="00BD1A2D">
            <w:pPr>
              <w:spacing w:after="120"/>
              <w:jc w:val="both"/>
            </w:pPr>
            <w:r>
              <w:t>Submăsura privind modernizarea materialului rulant (locomotive electrice şi vagoane) nu are un impact previzibil semnificativ asupra obiectivului de mediu privind protecţia şi refacerea biodiversităţii şi ecosistemelor, luȃnd în considerare efectele direct</w:t>
            </w:r>
            <w:r>
              <w:t>e și efectele primare indirecte de pe parcursul implementării.</w:t>
            </w:r>
          </w:p>
        </w:tc>
      </w:tr>
    </w:tbl>
    <w:p w:rsidR="003A3C7E" w:rsidRDefault="003A3C7E">
      <w:pPr>
        <w:spacing w:line="256" w:lineRule="auto"/>
        <w:rPr>
          <w:rFonts w:ascii="Times New Roman" w:eastAsia="Times New Roman" w:hAnsi="Times New Roman" w:cs="Times New Roman"/>
          <w:b/>
          <w:sz w:val="24"/>
          <w:szCs w:val="24"/>
        </w:rPr>
      </w:pPr>
    </w:p>
    <w:p w:rsidR="003A3C7E" w:rsidRDefault="00BD1A2D">
      <w:pPr>
        <w:pBdr>
          <w:top w:val="nil"/>
          <w:left w:val="nil"/>
          <w:bottom w:val="nil"/>
          <w:right w:val="nil"/>
          <w:between w:val="nil"/>
        </w:pBdr>
        <w:shd w:val="clear" w:color="auto" w:fill="A8D08D"/>
        <w:spacing w:line="256"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Partea 2 -</w:t>
      </w:r>
    </w:p>
    <w:tbl>
      <w:tblPr>
        <w:tblStyle w:val="a2"/>
        <w:tblW w:w="14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5"/>
        <w:gridCol w:w="930"/>
        <w:gridCol w:w="10230"/>
      </w:tblGrid>
      <w:tr w:rsidR="003A3C7E">
        <w:tc>
          <w:tcPr>
            <w:tcW w:w="2895" w:type="dxa"/>
            <w:shd w:val="clear" w:color="auto" w:fill="A8D08D"/>
          </w:tcPr>
          <w:p w:rsidR="003A3C7E" w:rsidRDefault="00BD1A2D">
            <w:pPr>
              <w:spacing w:after="120"/>
              <w:jc w:val="center"/>
              <w:rPr>
                <w:b/>
                <w:color w:val="000000"/>
                <w:highlight w:val="white"/>
              </w:rPr>
            </w:pPr>
            <w:r>
              <w:rPr>
                <w:b/>
              </w:rPr>
              <w:t>Questions</w:t>
            </w:r>
          </w:p>
        </w:tc>
        <w:tc>
          <w:tcPr>
            <w:tcW w:w="930" w:type="dxa"/>
            <w:shd w:val="clear" w:color="auto" w:fill="A8D08D"/>
          </w:tcPr>
          <w:p w:rsidR="003A3C7E" w:rsidRDefault="00BD1A2D">
            <w:pPr>
              <w:spacing w:after="120"/>
              <w:jc w:val="center"/>
              <w:rPr>
                <w:b/>
              </w:rPr>
            </w:pPr>
            <w:r>
              <w:rPr>
                <w:b/>
              </w:rPr>
              <w:t>No</w:t>
            </w:r>
          </w:p>
        </w:tc>
        <w:tc>
          <w:tcPr>
            <w:tcW w:w="10230" w:type="dxa"/>
            <w:shd w:val="clear" w:color="auto" w:fill="A8D08D"/>
          </w:tcPr>
          <w:p w:rsidR="003A3C7E" w:rsidRDefault="00BD1A2D">
            <w:pPr>
              <w:spacing w:after="120"/>
              <w:jc w:val="center"/>
              <w:rPr>
                <w:b/>
              </w:rPr>
            </w:pPr>
            <w:r>
              <w:rPr>
                <w:b/>
              </w:rPr>
              <w:t>Substantive justification</w:t>
            </w:r>
          </w:p>
        </w:tc>
      </w:tr>
      <w:tr w:rsidR="003A3C7E">
        <w:tc>
          <w:tcPr>
            <w:tcW w:w="2895" w:type="dxa"/>
          </w:tcPr>
          <w:p w:rsidR="003A3C7E" w:rsidRDefault="00BD1A2D">
            <w:pPr>
              <w:spacing w:after="120"/>
              <w:jc w:val="both"/>
              <w:rPr>
                <w:b/>
              </w:rPr>
            </w:pPr>
            <w:r>
              <w:rPr>
                <w:b/>
                <w:i/>
                <w:color w:val="000000"/>
                <w:highlight w:val="white"/>
              </w:rPr>
              <w:t xml:space="preserve">The transition to a circular economy, including waste prevention and recycling: </w:t>
            </w:r>
            <w:r>
              <w:rPr>
                <w:b/>
              </w:rPr>
              <w:t>Is the measure expected to:</w:t>
            </w:r>
          </w:p>
          <w:p w:rsidR="003A3C7E" w:rsidRDefault="00BD1A2D">
            <w:pPr>
              <w:numPr>
                <w:ilvl w:val="0"/>
                <w:numId w:val="1"/>
              </w:numPr>
              <w:spacing w:line="259" w:lineRule="auto"/>
              <w:jc w:val="both"/>
              <w:rPr>
                <w:b/>
              </w:rPr>
            </w:pPr>
            <w:r>
              <w:rPr>
                <w:b/>
              </w:rPr>
              <w:t xml:space="preserve">lead to a significant increase in the generation, incineration or disposal of waste, with </w:t>
            </w:r>
            <w:r>
              <w:rPr>
                <w:b/>
              </w:rPr>
              <w:lastRenderedPageBreak/>
              <w:t>the exception of the incineration of non-recyclable hazardous waste; or</w:t>
            </w:r>
          </w:p>
          <w:p w:rsidR="003A3C7E" w:rsidRDefault="00BD1A2D">
            <w:pPr>
              <w:numPr>
                <w:ilvl w:val="0"/>
                <w:numId w:val="1"/>
              </w:numPr>
              <w:spacing w:line="259" w:lineRule="auto"/>
              <w:jc w:val="both"/>
              <w:rPr>
                <w:b/>
              </w:rPr>
            </w:pPr>
            <w:r>
              <w:rPr>
                <w:b/>
              </w:rPr>
              <w:t>lead to significant inefficiencies in the direct or indirect use of any natural resource</w:t>
            </w:r>
            <w:r>
              <w:rPr>
                <w:b/>
                <w:vertAlign w:val="superscript"/>
              </w:rPr>
              <w:footnoteReference w:id="1"/>
            </w:r>
            <w:r>
              <w:rPr>
                <w:b/>
              </w:rPr>
              <w:t xml:space="preserve"> at a</w:t>
            </w:r>
            <w:r>
              <w:rPr>
                <w:b/>
              </w:rPr>
              <w:t>ny stage of its life cycle which are not minimised by adequate measures</w:t>
            </w:r>
            <w:r>
              <w:rPr>
                <w:b/>
                <w:vertAlign w:val="superscript"/>
              </w:rPr>
              <w:footnoteReference w:id="2"/>
            </w:r>
            <w:r>
              <w:rPr>
                <w:b/>
              </w:rPr>
              <w:t xml:space="preserve">; </w:t>
            </w:r>
          </w:p>
          <w:p w:rsidR="003A3C7E" w:rsidRDefault="00BD1A2D">
            <w:pPr>
              <w:numPr>
                <w:ilvl w:val="0"/>
                <w:numId w:val="1"/>
              </w:numPr>
              <w:spacing w:line="259" w:lineRule="auto"/>
              <w:jc w:val="both"/>
              <w:rPr>
                <w:b/>
              </w:rPr>
            </w:pPr>
            <w:r>
              <w:rPr>
                <w:b/>
              </w:rPr>
              <w:t>or</w:t>
            </w:r>
          </w:p>
          <w:p w:rsidR="003A3C7E" w:rsidRDefault="00BD1A2D">
            <w:pPr>
              <w:spacing w:line="256" w:lineRule="auto"/>
              <w:rPr>
                <w:b/>
              </w:rPr>
            </w:pPr>
            <w:r>
              <w:rPr>
                <w:b/>
                <w:color w:val="000000"/>
              </w:rPr>
              <w:t>cause significant and long-term harm to the environment in respect to the circular economy</w:t>
            </w:r>
            <w:r>
              <w:rPr>
                <w:b/>
                <w:color w:val="000000"/>
                <w:highlight w:val="white"/>
                <w:vertAlign w:val="superscript"/>
              </w:rPr>
              <w:footnoteReference w:id="3"/>
            </w:r>
            <w:r>
              <w:rPr>
                <w:b/>
                <w:color w:val="000000"/>
              </w:rPr>
              <w:t>? </w:t>
            </w:r>
          </w:p>
        </w:tc>
        <w:tc>
          <w:tcPr>
            <w:tcW w:w="930" w:type="dxa"/>
          </w:tcPr>
          <w:p w:rsidR="003A3C7E" w:rsidRDefault="00BD1A2D">
            <w:pPr>
              <w:spacing w:line="256" w:lineRule="auto"/>
              <w:jc w:val="center"/>
              <w:rPr>
                <w:b/>
              </w:rPr>
            </w:pPr>
            <w:r>
              <w:rPr>
                <w:b/>
              </w:rPr>
              <w:lastRenderedPageBreak/>
              <w:t>X</w:t>
            </w:r>
          </w:p>
        </w:tc>
        <w:tc>
          <w:tcPr>
            <w:tcW w:w="10230" w:type="dxa"/>
          </w:tcPr>
          <w:p w:rsidR="003A3C7E" w:rsidRDefault="00BD1A2D">
            <w:pPr>
              <w:spacing w:line="256" w:lineRule="auto"/>
              <w:jc w:val="both"/>
            </w:pPr>
            <w:r>
              <w:t xml:space="preserve">În toate etapele submăsurii se va menţine evidenţa gestiunii deşeurilor conform </w:t>
            </w:r>
            <w:r>
              <w:rPr>
                <w:i/>
              </w:rPr>
              <w:t>Le</w:t>
            </w:r>
            <w:r>
              <w:rPr>
                <w:i/>
              </w:rPr>
              <w:t>gii nr. 211/2011 privind regimul deşeurilor</w:t>
            </w:r>
            <w:r>
              <w:t xml:space="preserve">, cu modificările şi completările ulterioare, HG nr. 856/2002 (Directiva 2008/98/CE privind deșeurile și de abrogare a anumitor directive) şi respectiv </w:t>
            </w:r>
            <w:r>
              <w:rPr>
                <w:i/>
              </w:rPr>
              <w:t>Legea nr. 249/2015 privind modalitatea de gestionare a ambala</w:t>
            </w:r>
            <w:r>
              <w:rPr>
                <w:i/>
              </w:rPr>
              <w:t>jelor şi a deşeurilor de ambalaje</w:t>
            </w:r>
            <w:r>
              <w:t>, cu modificările şi completările ulterioare.</w:t>
            </w:r>
          </w:p>
          <w:p w:rsidR="003A3C7E" w:rsidRDefault="003A3C7E">
            <w:pPr>
              <w:spacing w:line="256" w:lineRule="auto"/>
              <w:jc w:val="both"/>
            </w:pPr>
          </w:p>
          <w:p w:rsidR="003A3C7E" w:rsidRDefault="00BD1A2D">
            <w:pPr>
              <w:spacing w:line="256" w:lineRule="auto"/>
              <w:jc w:val="both"/>
            </w:pPr>
            <w:r>
              <w:t xml:space="preserve">Gestionarea deşeurilor rezultate atât din faza de operare (întreținere/mentenanță), cât și cele rezultate la finalul duratei de viață a activelor mobile se va realiza în linie </w:t>
            </w:r>
            <w:r>
              <w:t xml:space="preserve">cu obiectivele de reducere a cantităţilor de deşeuri generate şi de maximizare a reutilizării şi reciclării, respectiv în linie cu obiectivele din cadrul general de gestionare a deşeurilor la nivel naţional - </w:t>
            </w:r>
            <w:r>
              <w:rPr>
                <w:i/>
              </w:rPr>
              <w:t>Planul naţional de gestionare a deşeurilor</w:t>
            </w:r>
            <w:r>
              <w:t xml:space="preserve"> (ela</w:t>
            </w:r>
            <w:r>
              <w:t xml:space="preserve">borat </w:t>
            </w:r>
            <w:r>
              <w:lastRenderedPageBreak/>
              <w:t xml:space="preserve">în baza art. 28 al </w:t>
            </w:r>
            <w:r>
              <w:rPr>
                <w:i/>
              </w:rPr>
              <w:t>Directivei 2008/98/EC privind deşeurile şi de abrogare a anumitor directive, cu modificările ulterioare şi aprobat</w:t>
            </w:r>
            <w:r>
              <w:t xml:space="preserve"> </w:t>
            </w:r>
            <w:r>
              <w:rPr>
                <w:i/>
              </w:rPr>
              <w:t>prin Hotărârea Guvernului nr. 942/2017</w:t>
            </w:r>
            <w:r>
              <w:t>).</w:t>
            </w:r>
          </w:p>
          <w:p w:rsidR="003A3C7E" w:rsidRDefault="003A3C7E">
            <w:pPr>
              <w:spacing w:line="256" w:lineRule="auto"/>
              <w:jc w:val="both"/>
            </w:pPr>
          </w:p>
          <w:p w:rsidR="003A3C7E" w:rsidRDefault="00BD1A2D">
            <w:pPr>
              <w:spacing w:line="256" w:lineRule="auto"/>
              <w:jc w:val="both"/>
            </w:pPr>
            <w:r>
              <w:t>Societăţile care vor presta serviciile de modernizare a locomotivelor electrice şi a vagoanelor au obligaţia legală de a respecta normele de protecţia mediului, inclusiv tranziţia către o economie circulară, pe tot parcursul procesului de modernizare a mat</w:t>
            </w:r>
            <w:r>
              <w:t>erialului rulant. Mai mult, activităţile de fabricaţie şi reparaţii ale materialului rulant sunt supuse procedurii de emitere a autorizaţiei de mediu (a se vedea nr. OUG 195/2005 şi Ordinul MMDD nr. 1798/2007), fiind analizate de către autorităţile cu comp</w:t>
            </w:r>
            <w:r>
              <w:t>etenţe în domeniul protecţiei mediului modul de gospodărire a deşeurilor şi a ambalajelor, modul de gospodărire a substanţelor şi preparatelor periculoase, programul de conformare - măsuri pentru reducerea efectelor prezente şi viitoare ale activităţilor e</w:t>
            </w:r>
            <w:r>
              <w:t>tc.</w:t>
            </w:r>
          </w:p>
          <w:p w:rsidR="003A3C7E" w:rsidRDefault="003A3C7E">
            <w:pPr>
              <w:spacing w:line="256" w:lineRule="auto"/>
              <w:jc w:val="both"/>
            </w:pPr>
          </w:p>
          <w:p w:rsidR="003A3C7E" w:rsidRDefault="00BD1A2D">
            <w:pPr>
              <w:spacing w:line="256" w:lineRule="auto"/>
              <w:jc w:val="both"/>
            </w:pPr>
            <w:r>
              <w:t xml:space="preserve">Deşeurile de echipamente electrice și electronice, de exemplu echipamente informatice şi de telecomunicaţii de dimensiuni mici (nicio dimensiune externă mai mare de 50 cm), vor fi gestionate în conformitate cu </w:t>
            </w:r>
            <w:r>
              <w:rPr>
                <w:i/>
              </w:rPr>
              <w:t>Directiva 2012/19/UE a Parlamentului Euro</w:t>
            </w:r>
            <w:r>
              <w:rPr>
                <w:i/>
              </w:rPr>
              <w:t>pean şi a Consiliului din 4 iulie 2012 privind deşeurile de echipamente electrice şi electronice (DEEE)</w:t>
            </w:r>
            <w:r>
              <w:t xml:space="preserve">, transpusă în legislaţia naţională prin </w:t>
            </w:r>
            <w:r>
              <w:rPr>
                <w:i/>
              </w:rPr>
              <w:t>OUG 5/2015 privind deşeurile de echipamente electrice şi electronice.</w:t>
            </w:r>
          </w:p>
          <w:p w:rsidR="003A3C7E" w:rsidRDefault="003A3C7E">
            <w:pPr>
              <w:spacing w:line="256" w:lineRule="auto"/>
              <w:jc w:val="both"/>
            </w:pPr>
          </w:p>
          <w:p w:rsidR="006A2CC0" w:rsidRDefault="00BD1A2D" w:rsidP="006A2CC0">
            <w:pPr>
              <w:spacing w:line="254" w:lineRule="auto"/>
              <w:jc w:val="both"/>
            </w:pPr>
            <w:r>
              <w:t xml:space="preserve">În mod similar cu etapa de modernizare a </w:t>
            </w:r>
            <w:r>
              <w:t xml:space="preserve">materialului rulant, în etapa de exploatare a materialului </w:t>
            </w:r>
            <w:proofErr w:type="gramStart"/>
            <w:r>
              <w:t>rulant,  asigurarea</w:t>
            </w:r>
            <w:proofErr w:type="gramEnd"/>
            <w:r>
              <w:t xml:space="preserve"> mentenanţei acestuia se va realiza prin încheierea de contracte de întreținere și reparații cu companii specializate în acest domeniu. </w:t>
            </w:r>
            <w:r w:rsidR="006A2CC0">
              <w:t xml:space="preserve">Companiile specializate în întreținerea și reparația materialului rulant vor gestiona deşeurile rezultate în conformitate cu prevederile legale în vigoare, și vor limita generarea de deșeuri în procesele de întreținere și reparații, vor lua în considerare cele mai bune tehnici </w:t>
            </w:r>
            <w:r w:rsidR="006A2CC0">
              <w:lastRenderedPageBreak/>
              <w:t>disponibile și va demonta /sorta deşeurile rezultate în mod selectiv, pentru a permite îndepărtarea şi manipularea în condiţii de siguranţă a substanţelor periculoase şi pentru a facilita reutilizarea și reciclarea de înaltă calitate prin eliminarea selectivă a materialelor, utilizând sisteme de sortare disponibile pentru deșeurile rezultate din activități de întreținere și reparații material rulant.</w:t>
            </w:r>
          </w:p>
          <w:p w:rsidR="006A2CC0" w:rsidRDefault="006A2CC0">
            <w:pPr>
              <w:spacing w:line="256" w:lineRule="auto"/>
              <w:jc w:val="both"/>
            </w:pPr>
          </w:p>
          <w:p w:rsidR="003A3C7E" w:rsidRDefault="00BD1A2D">
            <w:pPr>
              <w:spacing w:line="256" w:lineRule="auto"/>
              <w:jc w:val="both"/>
            </w:pPr>
            <w:r>
              <w:t>Colectarea apelor uzate și a deşeurilor menajere din perioada de e</w:t>
            </w:r>
            <w:r>
              <w:t>xploatare a trenurilor de călători se va realiza în conformitate cu legislația în vigoare. Astfel apele uzate sunt tratate prin sistemele municipale de tratare a apelor cu scopul obţinerii unei stări bune a apelor de suprafaţă şi subterane, precum şi un po</w:t>
            </w:r>
            <w:r>
              <w:t xml:space="preserve">tențial ecologic bun, aşa cum sunt definite în Articolul 2, punctele (22) şi (23) din Regulamentul (UE) 2020/852, în conformitate cu Directiva 2000/60/CE (Directiva-cadru privind apa), iar în cazul deșeurilor menajere acestea  vor fi reciclate, recuperate </w:t>
            </w:r>
            <w:r>
              <w:t>sau eliminate la rampele municipale de deșeuri, urmând a fi încheiate contracte cu operatori de salubritate autorizați.</w:t>
            </w:r>
          </w:p>
          <w:p w:rsidR="003A3C7E" w:rsidRDefault="003A3C7E">
            <w:pPr>
              <w:spacing w:line="256" w:lineRule="auto"/>
              <w:jc w:val="both"/>
            </w:pPr>
          </w:p>
          <w:p w:rsidR="003A3C7E" w:rsidRDefault="00BD1A2D">
            <w:pPr>
              <w:spacing w:line="256" w:lineRule="auto"/>
              <w:jc w:val="both"/>
            </w:pPr>
            <w:r>
              <w:t xml:space="preserve">În conformitate cu prevederile </w:t>
            </w:r>
            <w:r>
              <w:rPr>
                <w:i/>
              </w:rPr>
              <w:t xml:space="preserve">Anexei 1 la Hotărârea de Guvern nr. 2.139/2004, </w:t>
            </w:r>
            <w:r>
              <w:t xml:space="preserve">secţiunea </w:t>
            </w:r>
            <w:r>
              <w:rPr>
                <w:i/>
              </w:rPr>
              <w:t xml:space="preserve">2.3.1 Mijloace de </w:t>
            </w:r>
            <w:proofErr w:type="gramStart"/>
            <w:r>
              <w:rPr>
                <w:i/>
              </w:rPr>
              <w:t>Transport  Feroviare</w:t>
            </w:r>
            <w:proofErr w:type="gramEnd"/>
            <w:r>
              <w:t>, durata de viaţă a locomotivelor, locotractoare şi automotoare de ecartament normal este între 12-18 ani.</w:t>
            </w:r>
          </w:p>
          <w:p w:rsidR="003A3C7E" w:rsidRDefault="003A3C7E">
            <w:pPr>
              <w:spacing w:line="256" w:lineRule="auto"/>
              <w:jc w:val="both"/>
            </w:pPr>
          </w:p>
          <w:p w:rsidR="003A3C7E" w:rsidRDefault="00BD1A2D">
            <w:pPr>
              <w:spacing w:line="256" w:lineRule="auto"/>
              <w:jc w:val="both"/>
              <w:rPr>
                <w:b/>
              </w:rPr>
            </w:pPr>
            <w:r>
              <w:t xml:space="preserve">În conformitate cu prevederile </w:t>
            </w:r>
            <w:r>
              <w:rPr>
                <w:i/>
              </w:rPr>
              <w:t>Anexei 1 la Hotărârea de Guvern nr. 2.139/2004 (*actualizată*) pentru aprobarea Catalogului privind clasificarea şi d</w:t>
            </w:r>
            <w:r>
              <w:rPr>
                <w:i/>
              </w:rPr>
              <w:t xml:space="preserve">uratele normale de funcţionare </w:t>
            </w:r>
            <w:bookmarkStart w:id="0" w:name="_GoBack"/>
            <w:bookmarkEnd w:id="0"/>
            <w:r>
              <w:rPr>
                <w:i/>
              </w:rPr>
              <w:t>a mijloacelor fixe</w:t>
            </w:r>
            <w:r>
              <w:t>, menţinerea în funcţiune a mijloacelor fixe care pot afecta protecţia vieţii, a sănătăţii şi a mediului (</w:t>
            </w:r>
            <w:r>
              <w:rPr>
                <w:b/>
              </w:rPr>
              <w:t>mijloace de transport rutier, feroviar</w:t>
            </w:r>
            <w:r>
              <w:t>, aerian şi naval, maşini de construcţii şi de gospodărie comun</w:t>
            </w:r>
            <w:r>
              <w:t xml:space="preserve">ală, maşini de ridicat etc.) </w:t>
            </w:r>
            <w:r>
              <w:rPr>
                <w:b/>
              </w:rPr>
              <w:t>după expirarea duratei normale de funcţionare, se va putea face numai pe baza unui raport tehnic întocmit de organisme de certificare sau organisme de inspecţie tehnică abilitate în domeniul de activitate al mijlocului fix.</w:t>
            </w:r>
          </w:p>
          <w:p w:rsidR="003A3C7E" w:rsidRDefault="003A3C7E">
            <w:pPr>
              <w:spacing w:line="256" w:lineRule="auto"/>
              <w:jc w:val="both"/>
              <w:rPr>
                <w:b/>
              </w:rPr>
            </w:pPr>
          </w:p>
          <w:p w:rsidR="003A3C7E" w:rsidRDefault="00BD1A2D">
            <w:pPr>
              <w:spacing w:line="256" w:lineRule="auto"/>
              <w:jc w:val="both"/>
            </w:pPr>
            <w:r>
              <w:t>În</w:t>
            </w:r>
            <w:r>
              <w:t xml:space="preserve"> condiţiile respectării prevederii legale de mai sus, se va evita scoaterea din folosință a materialului rulant cu care se poate presta în condiții bune serviciul de transport public de călători. Astfel, materialul rulant poate fi supus serviciilor de mode</w:t>
            </w:r>
            <w:r>
              <w:t>rnizare, reparații, schimbări de componente, astfel încȃt să se asigure o utilizare durabilă a resurselor.</w:t>
            </w:r>
          </w:p>
          <w:p w:rsidR="003A3C7E" w:rsidRDefault="003A3C7E">
            <w:pPr>
              <w:spacing w:line="256" w:lineRule="auto"/>
              <w:jc w:val="both"/>
            </w:pPr>
          </w:p>
          <w:p w:rsidR="003A3C7E" w:rsidRDefault="00BD1A2D">
            <w:pPr>
              <w:spacing w:line="256" w:lineRule="auto"/>
              <w:jc w:val="both"/>
            </w:pPr>
            <w:r>
              <w:t>După scoaterea din uz a materialului rulant, părțile componente vor fi dezmembrate, sortate şi pregătite pentru reutilizare.</w:t>
            </w:r>
          </w:p>
        </w:tc>
      </w:tr>
    </w:tbl>
    <w:p w:rsidR="003A3C7E" w:rsidRDefault="003A3C7E">
      <w:pPr>
        <w:widowControl w:val="0"/>
        <w:pBdr>
          <w:top w:val="nil"/>
          <w:left w:val="nil"/>
          <w:bottom w:val="nil"/>
          <w:right w:val="nil"/>
          <w:between w:val="nil"/>
        </w:pBdr>
        <w:spacing w:before="7" w:after="0" w:line="240" w:lineRule="auto"/>
        <w:rPr>
          <w:rFonts w:ascii="Times New Roman" w:eastAsia="Times New Roman" w:hAnsi="Times New Roman" w:cs="Times New Roman"/>
          <w:color w:val="000000"/>
          <w:sz w:val="24"/>
          <w:szCs w:val="24"/>
        </w:rPr>
      </w:pPr>
    </w:p>
    <w:p w:rsidR="003A3C7E" w:rsidRDefault="003A3C7E">
      <w:pPr>
        <w:spacing w:line="256" w:lineRule="auto"/>
        <w:rPr>
          <w:rFonts w:ascii="Trebuchet MS" w:eastAsia="Trebuchet MS" w:hAnsi="Trebuchet MS" w:cs="Trebuchet MS"/>
          <w:b/>
          <w:sz w:val="24"/>
          <w:szCs w:val="24"/>
        </w:rPr>
      </w:pPr>
    </w:p>
    <w:sectPr w:rsidR="003A3C7E">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A2D" w:rsidRDefault="00BD1A2D">
      <w:pPr>
        <w:spacing w:after="0" w:line="240" w:lineRule="auto"/>
      </w:pPr>
      <w:r>
        <w:separator/>
      </w:r>
    </w:p>
  </w:endnote>
  <w:endnote w:type="continuationSeparator" w:id="0">
    <w:p w:rsidR="00BD1A2D" w:rsidRDefault="00BD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C7E" w:rsidRDefault="00BD1A2D">
    <w:pPr>
      <w:shd w:val="clear" w:color="auto" w:fill="004800"/>
      <w:tabs>
        <w:tab w:val="center" w:pos="4536"/>
        <w:tab w:val="right" w:pos="9072"/>
      </w:tabs>
      <w:spacing w:after="0" w:line="240" w:lineRule="auto"/>
      <w:rPr>
        <w:rFonts w:ascii="Arial" w:eastAsia="Arial" w:hAnsi="Arial" w:cs="Arial"/>
        <w:color w:val="FFFFFF"/>
        <w:sz w:val="20"/>
        <w:szCs w:val="20"/>
      </w:rPr>
    </w:pPr>
    <w:r>
      <w:rPr>
        <w:rFonts w:ascii="Arial" w:eastAsia="Arial" w:hAnsi="Arial" w:cs="Arial"/>
        <w:b/>
        <w:color w:val="FFFFFF"/>
        <w:sz w:val="20"/>
        <w:szCs w:val="20"/>
      </w:rPr>
      <w:fldChar w:fldCharType="begin"/>
    </w:r>
    <w:r>
      <w:rPr>
        <w:rFonts w:ascii="Arial" w:eastAsia="Arial" w:hAnsi="Arial" w:cs="Arial"/>
        <w:b/>
        <w:color w:val="FFFFFF"/>
        <w:sz w:val="20"/>
        <w:szCs w:val="20"/>
      </w:rPr>
      <w:instrText>PAGE</w:instrText>
    </w:r>
    <w:r w:rsidR="006A2CC0">
      <w:rPr>
        <w:rFonts w:ascii="Arial" w:eastAsia="Arial" w:hAnsi="Arial" w:cs="Arial"/>
        <w:b/>
        <w:color w:val="FFFFFF"/>
        <w:sz w:val="20"/>
        <w:szCs w:val="20"/>
      </w:rPr>
      <w:fldChar w:fldCharType="separate"/>
    </w:r>
    <w:r w:rsidR="00F55266">
      <w:rPr>
        <w:rFonts w:ascii="Arial" w:eastAsia="Arial" w:hAnsi="Arial" w:cs="Arial"/>
        <w:b/>
        <w:noProof/>
        <w:color w:val="FFFFFF"/>
        <w:sz w:val="20"/>
        <w:szCs w:val="20"/>
      </w:rPr>
      <w:t>7</w:t>
    </w:r>
    <w:r>
      <w:rPr>
        <w:rFonts w:ascii="Arial" w:eastAsia="Arial" w:hAnsi="Arial" w:cs="Arial"/>
        <w:b/>
        <w:color w:val="FFFFFF"/>
        <w:sz w:val="20"/>
        <w:szCs w:val="20"/>
      </w:rPr>
      <w:fldChar w:fldCharType="end"/>
    </w:r>
  </w:p>
  <w:p w:rsidR="003A3C7E" w:rsidRDefault="00F55266">
    <w:pPr>
      <w:pBdr>
        <w:bottom w:val="single" w:sz="4" w:space="1" w:color="004800"/>
      </w:pBdr>
      <w:tabs>
        <w:tab w:val="center" w:pos="4536"/>
        <w:tab w:val="right" w:pos="9072"/>
      </w:tabs>
      <w:spacing w:before="60" w:after="20" w:line="240" w:lineRule="auto"/>
      <w:jc w:val="right"/>
      <w:rPr>
        <w:rFonts w:ascii="Times New Roman" w:eastAsia="Times New Roman" w:hAnsi="Times New Roman" w:cs="Times New Roman"/>
      </w:rPr>
    </w:pPr>
    <w:r>
      <w:rPr>
        <w:rFonts w:ascii="Arial" w:eastAsia="Arial" w:hAnsi="Arial" w:cs="Arial"/>
        <w:b/>
        <w:color w:val="004800"/>
        <w:sz w:val="18"/>
        <w:szCs w:val="18"/>
      </w:rPr>
      <w:t>DO NO</w:t>
    </w:r>
    <w:r w:rsidR="00BD1A2D">
      <w:rPr>
        <w:rFonts w:ascii="Arial" w:eastAsia="Arial" w:hAnsi="Arial" w:cs="Arial"/>
        <w:b/>
        <w:color w:val="004800"/>
        <w:sz w:val="18"/>
        <w:szCs w:val="18"/>
      </w:rPr>
      <w:t xml:space="preserve"> SIGNIFICANT HARM</w:t>
    </w:r>
  </w:p>
  <w:p w:rsidR="003A3C7E" w:rsidRDefault="003A3C7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A2D" w:rsidRDefault="00BD1A2D">
      <w:pPr>
        <w:spacing w:after="0" w:line="240" w:lineRule="auto"/>
      </w:pPr>
      <w:r>
        <w:separator/>
      </w:r>
    </w:p>
  </w:footnote>
  <w:footnote w:type="continuationSeparator" w:id="0">
    <w:p w:rsidR="00BD1A2D" w:rsidRDefault="00BD1A2D">
      <w:pPr>
        <w:spacing w:after="0" w:line="240" w:lineRule="auto"/>
      </w:pPr>
      <w:r>
        <w:continuationSeparator/>
      </w:r>
    </w:p>
  </w:footnote>
  <w:footnote w:id="1">
    <w:p w:rsidR="003A3C7E" w:rsidRDefault="00BD1A2D">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Style w:val="FootnoteReference"/>
        </w:rPr>
        <w:footnoteRef/>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i/>
          <w:color w:val="000000"/>
          <w:sz w:val="16"/>
          <w:szCs w:val="16"/>
        </w:rPr>
        <w:t>Natural resources comprise energy, materials, metals, water, biomass, air and land.</w:t>
      </w:r>
    </w:p>
  </w:footnote>
  <w:footnote w:id="2">
    <w:p w:rsidR="003A3C7E" w:rsidRDefault="00BD1A2D">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Style w:val="FootnoteReference"/>
        </w:rPr>
        <w:footnoteRef/>
      </w:r>
      <w:r>
        <w:rPr>
          <w:rFonts w:ascii="Times New Roman" w:eastAsia="Times New Roman" w:hAnsi="Times New Roman" w:cs="Times New Roman"/>
          <w:i/>
          <w:color w:val="000000"/>
          <w:sz w:val="16"/>
          <w:szCs w:val="16"/>
        </w:rPr>
        <w:t xml:space="preserve"> For instance, inefficiencies can be minimised by significantly increasing the durability, reparability, upgradability and reusability of products or by significantly redu</w:t>
      </w:r>
      <w:r>
        <w:rPr>
          <w:rFonts w:ascii="Times New Roman" w:eastAsia="Times New Roman" w:hAnsi="Times New Roman" w:cs="Times New Roman"/>
          <w:i/>
          <w:color w:val="000000"/>
          <w:sz w:val="16"/>
          <w:szCs w:val="16"/>
        </w:rPr>
        <w:t>cing resources through the design and choice of materials, facilitating repurposing, disassembly and deconstruction, in particular to reduce the use of building materials and promote the reuse of building materials. Additionally, transitioning to ‘product-</w:t>
      </w:r>
      <w:r>
        <w:rPr>
          <w:rFonts w:ascii="Times New Roman" w:eastAsia="Times New Roman" w:hAnsi="Times New Roman" w:cs="Times New Roman"/>
          <w:i/>
          <w:color w:val="000000"/>
          <w:sz w:val="16"/>
          <w:szCs w:val="16"/>
        </w:rPr>
        <w:t xml:space="preserve">as-a-service business models and circular value chains with the aim of keeping products, components and materials at their highest utility and value for as long as possible. This also comprises a significant reduction in the content of hazardous substance </w:t>
      </w:r>
      <w:r>
        <w:rPr>
          <w:rFonts w:ascii="Times New Roman" w:eastAsia="Times New Roman" w:hAnsi="Times New Roman" w:cs="Times New Roman"/>
          <w:i/>
          <w:color w:val="000000"/>
          <w:sz w:val="16"/>
          <w:szCs w:val="16"/>
        </w:rPr>
        <w:t>in materials and products, including by replacing them with safer alternatives. This further includes significantly reducing food waste in the production, processing, manufacturing or distribution of food.</w:t>
      </w:r>
    </w:p>
  </w:footnote>
  <w:footnote w:id="3">
    <w:p w:rsidR="003A3C7E" w:rsidRDefault="00BD1A2D">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Style w:val="FootnoteReference"/>
        </w:rPr>
        <w:footnoteRef/>
      </w:r>
      <w:r>
        <w:rPr>
          <w:rFonts w:ascii="Times New Roman" w:eastAsia="Times New Roman" w:hAnsi="Times New Roman" w:cs="Times New Roman"/>
          <w:i/>
          <w:color w:val="000000"/>
          <w:sz w:val="16"/>
          <w:szCs w:val="16"/>
        </w:rPr>
        <w:t xml:space="preserve"> Please refer to Recital 27 of the Taxonomy Regul</w:t>
      </w:r>
      <w:r>
        <w:rPr>
          <w:rFonts w:ascii="Times New Roman" w:eastAsia="Times New Roman" w:hAnsi="Times New Roman" w:cs="Times New Roman"/>
          <w:i/>
          <w:color w:val="000000"/>
          <w:sz w:val="16"/>
          <w:szCs w:val="16"/>
        </w:rPr>
        <w:t xml:space="preserve">ation for more information on the circular economy objective.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904C93"/>
    <w:multiLevelType w:val="multilevel"/>
    <w:tmpl w:val="D7CAEEEE"/>
    <w:lvl w:ilvl="0">
      <w:start w:val="1"/>
      <w:numFmt w:val="low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C7E"/>
    <w:rsid w:val="003A3C7E"/>
    <w:rsid w:val="006A2CC0"/>
    <w:rsid w:val="00BD1A2D"/>
    <w:rsid w:val="00F55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A3536"/>
  <w15:docId w15:val="{F85C3727-67E7-4D6C-A51F-0FB829A0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06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1"/>
    <w:qFormat/>
    <w:rsid w:val="00D85046"/>
    <w:pPr>
      <w:widowControl w:val="0"/>
      <w:autoSpaceDE w:val="0"/>
      <w:autoSpaceDN w:val="0"/>
      <w:spacing w:after="0" w:line="240" w:lineRule="auto"/>
      <w:ind w:left="300"/>
      <w:outlineLvl w:val="1"/>
    </w:pPr>
    <w:rPr>
      <w:rFonts w:ascii="Arial" w:eastAsia="Arial" w:hAnsi="Arial" w:cs="Arial"/>
      <w:b/>
      <w:bCs/>
      <w:sz w:val="24"/>
      <w:szCs w:val="24"/>
      <w:lang w:val="ro"/>
    </w:rPr>
  </w:style>
  <w:style w:type="paragraph" w:styleId="Heading3">
    <w:name w:val="heading 3"/>
    <w:basedOn w:val="Normal"/>
    <w:next w:val="Normal"/>
    <w:link w:val="Heading3Char"/>
    <w:uiPriority w:val="9"/>
    <w:semiHidden/>
    <w:unhideWhenUsed/>
    <w:qFormat/>
    <w:rsid w:val="00C605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A62E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link w:val="FootnoteTextChar"/>
    <w:uiPriority w:val="99"/>
    <w:unhideWhenUsed/>
    <w:rsid w:val="0018328B"/>
    <w:pPr>
      <w:spacing w:after="0" w:line="240" w:lineRule="auto"/>
    </w:pPr>
    <w:rPr>
      <w:rFonts w:cs="Times New Roman"/>
      <w:sz w:val="20"/>
      <w:szCs w:val="20"/>
      <w:lang w:val="ro-RO"/>
    </w:rPr>
  </w:style>
  <w:style w:type="character" w:customStyle="1" w:styleId="FootnoteTextChar">
    <w:name w:val="Footnote Text Char"/>
    <w:basedOn w:val="DefaultParagraphFont"/>
    <w:link w:val="FootnoteText"/>
    <w:uiPriority w:val="99"/>
    <w:rsid w:val="0018328B"/>
    <w:rPr>
      <w:rFonts w:ascii="Calibri" w:eastAsia="Calibri" w:hAnsi="Calibri" w:cs="Times New Roman"/>
      <w:sz w:val="20"/>
      <w:szCs w:val="20"/>
      <w:lang w:val="ro-RO"/>
    </w:rPr>
  </w:style>
  <w:style w:type="character" w:styleId="FootnoteReference">
    <w:name w:val="footnote reference"/>
    <w:basedOn w:val="DefaultParagraphFont"/>
    <w:uiPriority w:val="99"/>
    <w:unhideWhenUsed/>
    <w:rsid w:val="0018328B"/>
    <w:rPr>
      <w:vertAlign w:val="superscript"/>
    </w:rPr>
  </w:style>
  <w:style w:type="table" w:styleId="TableGrid">
    <w:name w:val="Table Grid"/>
    <w:basedOn w:val="TableNormal"/>
    <w:rsid w:val="0018328B"/>
    <w:pPr>
      <w:spacing w:after="0" w:line="240" w:lineRule="auto"/>
    </w:pPr>
    <w:rPr>
      <w:rFonts w:ascii="Times New Roman" w:eastAsia="Times New Roman" w:hAnsi="Times New Roman" w:cs="Times New Roman"/>
      <w:sz w:val="24"/>
      <w:szCs w:val="20"/>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3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28B"/>
    <w:rPr>
      <w:rFonts w:ascii="Segoe UI" w:hAnsi="Segoe UI" w:cs="Segoe UI"/>
      <w:sz w:val="18"/>
      <w:szCs w:val="18"/>
    </w:rPr>
  </w:style>
  <w:style w:type="paragraph" w:customStyle="1" w:styleId="Char1CharCharChar">
    <w:name w:val="Char1 Char Char Char"/>
    <w:basedOn w:val="Normal"/>
    <w:rsid w:val="00CD1F40"/>
    <w:pPr>
      <w:spacing w:after="0" w:line="240" w:lineRule="auto"/>
    </w:pPr>
    <w:rPr>
      <w:rFonts w:ascii="Times New Roman" w:eastAsia="Times New Roman" w:hAnsi="Times New Roman" w:cs="Times New Roman"/>
      <w:sz w:val="24"/>
      <w:szCs w:val="24"/>
      <w:lang w:val="pl-PL" w:eastAsia="pl-PL"/>
    </w:rPr>
  </w:style>
  <w:style w:type="paragraph" w:customStyle="1" w:styleId="Char1CharCharChar0">
    <w:name w:val="Char1 Char Char Char"/>
    <w:basedOn w:val="Normal"/>
    <w:rsid w:val="0043517C"/>
    <w:pPr>
      <w:spacing w:after="0" w:line="240" w:lineRule="auto"/>
    </w:pPr>
    <w:rPr>
      <w:rFonts w:ascii="Times New Roman" w:eastAsia="Times New Roman" w:hAnsi="Times New Roman" w:cs="Times New Roman"/>
      <w:sz w:val="24"/>
      <w:szCs w:val="24"/>
      <w:lang w:val="pl-PL" w:eastAsia="pl-PL"/>
    </w:rPr>
  </w:style>
  <w:style w:type="paragraph" w:styleId="ListParagraph">
    <w:name w:val="List Paragraph"/>
    <w:basedOn w:val="Normal"/>
    <w:link w:val="ListParagraphChar"/>
    <w:qFormat/>
    <w:rsid w:val="00A25B12"/>
    <w:pPr>
      <w:ind w:left="720"/>
      <w:contextualSpacing/>
    </w:pPr>
  </w:style>
  <w:style w:type="character" w:styleId="CommentReference">
    <w:name w:val="annotation reference"/>
    <w:semiHidden/>
    <w:rsid w:val="00EB7AB0"/>
    <w:rPr>
      <w:sz w:val="16"/>
      <w:szCs w:val="16"/>
    </w:rPr>
  </w:style>
  <w:style w:type="paragraph" w:styleId="CommentText">
    <w:name w:val="annotation text"/>
    <w:basedOn w:val="Normal"/>
    <w:link w:val="CommentTextChar"/>
    <w:semiHidden/>
    <w:rsid w:val="00EB7AB0"/>
    <w:pPr>
      <w:spacing w:after="0" w:line="240" w:lineRule="auto"/>
    </w:pPr>
    <w:rPr>
      <w:rFonts w:ascii="Times New Roman" w:eastAsia="Times New Roman" w:hAnsi="Times New Roman" w:cs="Times New Roman"/>
      <w:sz w:val="20"/>
      <w:szCs w:val="20"/>
      <w:lang w:val="ro-RO"/>
    </w:rPr>
  </w:style>
  <w:style w:type="character" w:customStyle="1" w:styleId="CommentTextChar">
    <w:name w:val="Comment Text Char"/>
    <w:basedOn w:val="DefaultParagraphFont"/>
    <w:link w:val="CommentText"/>
    <w:semiHidden/>
    <w:rsid w:val="00EB7AB0"/>
    <w:rPr>
      <w:rFonts w:ascii="Times New Roman" w:eastAsia="Times New Roman" w:hAnsi="Times New Roman" w:cs="Times New Roman"/>
      <w:sz w:val="20"/>
      <w:szCs w:val="20"/>
      <w:lang w:val="ro-RO"/>
    </w:rPr>
  </w:style>
  <w:style w:type="paragraph" w:styleId="BodyText">
    <w:name w:val="Body Text"/>
    <w:basedOn w:val="Normal"/>
    <w:link w:val="BodyTextChar"/>
    <w:uiPriority w:val="1"/>
    <w:qFormat/>
    <w:rsid w:val="00A1525C"/>
    <w:pPr>
      <w:widowControl w:val="0"/>
      <w:autoSpaceDE w:val="0"/>
      <w:autoSpaceDN w:val="0"/>
      <w:spacing w:after="0" w:line="240" w:lineRule="auto"/>
    </w:pPr>
    <w:rPr>
      <w:rFonts w:ascii="Microsoft Sans Serif" w:eastAsia="Microsoft Sans Serif" w:hAnsi="Microsoft Sans Serif" w:cs="Microsoft Sans Serif"/>
      <w:sz w:val="24"/>
      <w:szCs w:val="24"/>
      <w:lang w:val="ro"/>
    </w:rPr>
  </w:style>
  <w:style w:type="character" w:customStyle="1" w:styleId="BodyTextChar">
    <w:name w:val="Body Text Char"/>
    <w:basedOn w:val="DefaultParagraphFont"/>
    <w:link w:val="BodyText"/>
    <w:uiPriority w:val="1"/>
    <w:rsid w:val="00A1525C"/>
    <w:rPr>
      <w:rFonts w:ascii="Microsoft Sans Serif" w:eastAsia="Microsoft Sans Serif" w:hAnsi="Microsoft Sans Serif" w:cs="Microsoft Sans Serif"/>
      <w:sz w:val="24"/>
      <w:szCs w:val="24"/>
      <w:lang w:val="ro"/>
    </w:rPr>
  </w:style>
  <w:style w:type="character" w:customStyle="1" w:styleId="Heading2Char">
    <w:name w:val="Heading 2 Char"/>
    <w:basedOn w:val="DefaultParagraphFont"/>
    <w:link w:val="Heading2"/>
    <w:uiPriority w:val="1"/>
    <w:rsid w:val="00D85046"/>
    <w:rPr>
      <w:rFonts w:ascii="Arial" w:eastAsia="Arial" w:hAnsi="Arial" w:cs="Arial"/>
      <w:b/>
      <w:bCs/>
      <w:sz w:val="24"/>
      <w:szCs w:val="24"/>
      <w:lang w:val="ro"/>
    </w:rPr>
  </w:style>
  <w:style w:type="paragraph" w:customStyle="1" w:styleId="TableParagraph">
    <w:name w:val="Table Paragraph"/>
    <w:basedOn w:val="Normal"/>
    <w:uiPriority w:val="1"/>
    <w:qFormat/>
    <w:rsid w:val="00344975"/>
    <w:pPr>
      <w:widowControl w:val="0"/>
      <w:autoSpaceDE w:val="0"/>
      <w:autoSpaceDN w:val="0"/>
      <w:spacing w:after="0" w:line="240" w:lineRule="auto"/>
    </w:pPr>
    <w:rPr>
      <w:rFonts w:ascii="Microsoft Sans Serif" w:eastAsia="Microsoft Sans Serif" w:hAnsi="Microsoft Sans Serif" w:cs="Microsoft Sans Serif"/>
      <w:lang w:val="ro"/>
    </w:rPr>
  </w:style>
  <w:style w:type="character" w:customStyle="1" w:styleId="Heading3Char">
    <w:name w:val="Heading 3 Char"/>
    <w:basedOn w:val="DefaultParagraphFont"/>
    <w:link w:val="Heading3"/>
    <w:uiPriority w:val="9"/>
    <w:semiHidden/>
    <w:rsid w:val="00C6051A"/>
    <w:rPr>
      <w:rFonts w:asciiTheme="majorHAnsi" w:eastAsiaTheme="majorEastAsia" w:hAnsiTheme="majorHAnsi" w:cstheme="majorBidi"/>
      <w:color w:val="1F4D78" w:themeColor="accent1" w:themeShade="7F"/>
      <w:sz w:val="24"/>
      <w:szCs w:val="24"/>
    </w:rPr>
  </w:style>
  <w:style w:type="paragraph" w:customStyle="1" w:styleId="Style13">
    <w:name w:val="Style13"/>
    <w:basedOn w:val="Normal"/>
    <w:uiPriority w:val="99"/>
    <w:rsid w:val="007F0453"/>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character" w:customStyle="1" w:styleId="ListParagraphChar">
    <w:name w:val="List Paragraph Char"/>
    <w:basedOn w:val="DefaultParagraphFont"/>
    <w:link w:val="ListParagraph"/>
    <w:rsid w:val="009E3F06"/>
  </w:style>
  <w:style w:type="character" w:customStyle="1" w:styleId="Tablecaption2">
    <w:name w:val="Table caption (2)_"/>
    <w:basedOn w:val="DefaultParagraphFont"/>
    <w:link w:val="Tablecaption20"/>
    <w:rsid w:val="009E3F06"/>
    <w:rPr>
      <w:rFonts w:ascii="Verdana" w:eastAsia="Verdana" w:hAnsi="Verdana" w:cs="Verdana"/>
      <w:sz w:val="19"/>
      <w:szCs w:val="19"/>
      <w:shd w:val="clear" w:color="auto" w:fill="FFFFFF"/>
    </w:rPr>
  </w:style>
  <w:style w:type="paragraph" w:customStyle="1" w:styleId="Tablecaption20">
    <w:name w:val="Table caption (2)"/>
    <w:basedOn w:val="Normal"/>
    <w:link w:val="Tablecaption2"/>
    <w:rsid w:val="009E3F06"/>
    <w:pPr>
      <w:widowControl w:val="0"/>
      <w:shd w:val="clear" w:color="auto" w:fill="FFFFFF"/>
      <w:spacing w:after="0" w:line="0" w:lineRule="atLeast"/>
    </w:pPr>
    <w:rPr>
      <w:rFonts w:ascii="Verdana" w:eastAsia="Verdana" w:hAnsi="Verdana" w:cs="Verdana"/>
      <w:sz w:val="19"/>
      <w:szCs w:val="19"/>
    </w:rPr>
  </w:style>
  <w:style w:type="character" w:customStyle="1" w:styleId="Heading4Char">
    <w:name w:val="Heading 4 Char"/>
    <w:basedOn w:val="DefaultParagraphFont"/>
    <w:link w:val="Heading4"/>
    <w:uiPriority w:val="9"/>
    <w:semiHidden/>
    <w:rsid w:val="008A62E9"/>
    <w:rPr>
      <w:rFonts w:asciiTheme="majorHAnsi" w:eastAsiaTheme="majorEastAsia" w:hAnsiTheme="majorHAnsi" w:cstheme="majorBidi"/>
      <w:i/>
      <w:iCs/>
      <w:color w:val="2E74B5" w:themeColor="accent1" w:themeShade="BF"/>
    </w:rPr>
  </w:style>
  <w:style w:type="paragraph" w:styleId="CommentSubject">
    <w:name w:val="annotation subject"/>
    <w:basedOn w:val="CommentText"/>
    <w:next w:val="CommentText"/>
    <w:link w:val="CommentSubjectChar"/>
    <w:uiPriority w:val="99"/>
    <w:semiHidden/>
    <w:unhideWhenUsed/>
    <w:rsid w:val="0086241C"/>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6241C"/>
    <w:rPr>
      <w:rFonts w:ascii="Times New Roman" w:eastAsia="Times New Roman" w:hAnsi="Times New Roman" w:cs="Times New Roman"/>
      <w:b/>
      <w:bCs/>
      <w:sz w:val="20"/>
      <w:szCs w:val="20"/>
      <w:lang w:val="ro-RO"/>
    </w:rPr>
  </w:style>
  <w:style w:type="character" w:styleId="PlaceholderText">
    <w:name w:val="Placeholder Text"/>
    <w:basedOn w:val="DefaultParagraphFont"/>
    <w:uiPriority w:val="99"/>
    <w:semiHidden/>
    <w:rsid w:val="0006252E"/>
    <w:rPr>
      <w:color w:val="80808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paragraph" w:styleId="Header">
    <w:name w:val="header"/>
    <w:basedOn w:val="Normal"/>
    <w:link w:val="HeaderChar"/>
    <w:uiPriority w:val="99"/>
    <w:unhideWhenUsed/>
    <w:rsid w:val="00F552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266"/>
  </w:style>
  <w:style w:type="paragraph" w:styleId="Footer">
    <w:name w:val="footer"/>
    <w:basedOn w:val="Normal"/>
    <w:link w:val="FooterChar"/>
    <w:uiPriority w:val="99"/>
    <w:unhideWhenUsed/>
    <w:rsid w:val="00F552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824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D8iSFGlffLO5nbVENBnD5xyoEg==">AMUW2mUyQB7DHXFFUrDsTbNtrI6EEIA8uAvlCkbJgLgxpRujx4fvQJsGZBReeg2HzBgF+wwemoqjxK47+3JJ3HSy8PGUnNwRP1vT6uwIPwhYVcGg7HtxYmQ=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2018</Words>
  <Characters>11505</Characters>
  <Application>Microsoft Office Word</Application>
  <DocSecurity>0</DocSecurity>
  <Lines>95</Lines>
  <Paragraphs>26</Paragraphs>
  <ScaleCrop>false</ScaleCrop>
  <Company>HP</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ciplicamalia@outlook.com</dc:creator>
  <cp:lastModifiedBy>ciplicamalia@outlook.com</cp:lastModifiedBy>
  <cp:revision>3</cp:revision>
  <dcterms:created xsi:type="dcterms:W3CDTF">2021-05-21T12:11:00Z</dcterms:created>
  <dcterms:modified xsi:type="dcterms:W3CDTF">2021-05-29T21:37:00Z</dcterms:modified>
</cp:coreProperties>
</file>