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1128200739"/>
      </w:sdtPr>
      <w:sdtEndPr/>
      <w:sdtContent>
        <w:p w14:paraId="00000001" w14:textId="77777777" w:rsidR="00930A19" w:rsidRDefault="006F2BC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color w:val="0563C1"/>
            </w:rPr>
            <w:t>Calendarul de implementare al reformelor</w:t>
          </w:r>
        </w:p>
      </w:sdtContent>
    </w:sdt>
    <w:p w14:paraId="00000002" w14:textId="77777777" w:rsidR="00930A19" w:rsidRDefault="006F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 </w:t>
      </w:r>
    </w:p>
    <w:tbl>
      <w:tblPr>
        <w:tblStyle w:val="a"/>
        <w:tblW w:w="14190" w:type="dxa"/>
        <w:jc w:val="center"/>
        <w:tblLayout w:type="fixed"/>
        <w:tblLook w:val="0400" w:firstRow="0" w:lastRow="0" w:firstColumn="0" w:lastColumn="0" w:noHBand="0" w:noVBand="1"/>
      </w:tblPr>
      <w:tblGrid>
        <w:gridCol w:w="2175"/>
        <w:gridCol w:w="585"/>
        <w:gridCol w:w="525"/>
        <w:gridCol w:w="540"/>
        <w:gridCol w:w="615"/>
        <w:gridCol w:w="555"/>
        <w:gridCol w:w="510"/>
        <w:gridCol w:w="495"/>
        <w:gridCol w:w="600"/>
        <w:gridCol w:w="540"/>
        <w:gridCol w:w="540"/>
        <w:gridCol w:w="540"/>
        <w:gridCol w:w="540"/>
        <w:gridCol w:w="540"/>
        <w:gridCol w:w="540"/>
        <w:gridCol w:w="495"/>
        <w:gridCol w:w="495"/>
        <w:gridCol w:w="555"/>
        <w:gridCol w:w="555"/>
        <w:gridCol w:w="585"/>
        <w:gridCol w:w="510"/>
        <w:gridCol w:w="585"/>
        <w:gridCol w:w="570"/>
      </w:tblGrid>
      <w:tr w:rsidR="00930A19" w14:paraId="4835FF71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00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00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009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 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00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00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01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01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01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01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01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01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01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01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02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02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02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02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02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02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02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02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930A19" w14:paraId="5A9566F1" w14:textId="77777777">
        <w:trPr>
          <w:jc w:val="center"/>
        </w:trPr>
        <w:tc>
          <w:tcPr>
            <w:tcW w:w="13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930A19" w:rsidRDefault="006F2BC9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Reforma 1 (R1): - </w:t>
            </w:r>
            <w:r>
              <w:rPr>
                <w:b/>
                <w:color w:val="000000"/>
              </w:rPr>
              <w:t>Transport sustenabil, decarbonizare și siguranță rutieră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  Îmbunătățirea cadrului strategic, legal și procedural pentru tranziția către transport sustenabil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309B2409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M1. </w:t>
            </w:r>
            <w:r>
              <w:rPr>
                <w:rFonts w:ascii="Times New Roman" w:eastAsia="Times New Roman" w:hAnsi="Times New Roman" w:cs="Times New Roman"/>
              </w:rPr>
              <w:t>Strategia pentru dezvoltarea infrastructurii feroviare 2021-2025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AC24A1B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M2.</w:t>
            </w:r>
            <w:r>
              <w:rPr>
                <w:rFonts w:ascii="Times New Roman" w:eastAsia="Times New Roman" w:hAnsi="Times New Roman" w:cs="Times New Roman"/>
              </w:rPr>
              <w:t xml:space="preserve"> Strategia Națională privind Siguranța Rutieră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1AA1C9AC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Legislație pentru aprobarea monitorizarii și sancționarii încălcărilor legislației rutiere prin mijloace automate/camere video/senzori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BC2997C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Pachet legislativ pentru implementarea noului sistem de taxare pe baza distanței pentru vehiculele de tonaj greu pentru marfă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(camioane, etc), pe baza principiilor de impozitare ecologică conform principiului „poluatorul plătește”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03870743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Pachet legislativ pentru stimularea utilizării de vehicule ecologice și programe de reînnoire a parcului auto de către utilizatori casnici, companii private și instituții publice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6E2E4751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23D1F6E5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T1.</w:t>
            </w:r>
            <w:r>
              <w:t xml:space="preserve"> </w:t>
            </w:r>
            <w:r w:rsidRPr="006F2B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Vehicule noi curate achiziționate de către entități publice, cu cel puțin 3% peste pragurile din Directiva privind Vehiculele Curate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0072CE30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0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T2. </w:t>
            </w:r>
            <w:r>
              <w:rPr>
                <w:rFonts w:ascii="Times New Roman" w:eastAsia="Times New Roman" w:hAnsi="Times New Roman" w:cs="Times New Roman"/>
              </w:rPr>
              <w:t xml:space="preserve">Instalarea a 1000 de sisteme de verificare a vitezei, 300 de radare mobile și 500 de camere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video, până în trimestrul IV, 2025, pentru creșterea controalelor de aplicare a limitelor de viteză și respectarea regulilor de siguranță rutieră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F5CC04F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Creșterea cu cel puțin 100% a numărului de vehicule înregistrate cu emisii zero și vehicule cu emisii reduse față de valoarea inițială din anul 2020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344A6B5F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 puțin 17732 puncte de reîncărcare electrice instalate la nivel național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2605E432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Reducerea numărului de victime ale accidentelor rutiere (decese și persoane grav rănite) cu 25% față de nivelul de referință din 2020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B100CFC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2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3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32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 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3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3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3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3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3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3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4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4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4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4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4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4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4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4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5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5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5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5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930A19" w14:paraId="41CEE994" w14:textId="77777777">
        <w:trPr>
          <w:jc w:val="center"/>
        </w:trPr>
        <w:tc>
          <w:tcPr>
            <w:tcW w:w="13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Reforma 2 (R2): „Viziune și management performant pentru transport de calitate” -  Îmbunătățirea capacității instituționale de management și guvernanță corporativă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39E397ED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M1. </w:t>
            </w:r>
            <w:r>
              <w:rPr>
                <w:rFonts w:ascii="Times New Roman" w:eastAsia="Times New Roman" w:hAnsi="Times New Roman" w:cs="Times New Roman"/>
              </w:rPr>
              <w:t xml:space="preserve"> Legislația privind reforma companiei de stat C.N.A.I.R. și crearea unei noi companii de gestionare a proiectelor de investiții rutiere (C.N.I.R.)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6B482BAC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Selectarea și numirea membrilor consiliului de administrație al C.N.I.R, CFR Infrastructură, Metrorex, CFR Călători, pe baza unei proceduri transparente și competitive, cu un mandat de 4 ani și o remunerație bazată pe indicatori de performanță (KPI) legaț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de performanța financiară (KPI relevant pentru profilul fiecărei companii) și performanța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serviciului furnizat (de exemplu, pe baza unui sondaj de satisfacție a clienților) ade fiecare companiei, până la trimestrul IV 2022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AC057C0" w14:textId="77777777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M3. </w:t>
            </w:r>
            <w:r>
              <w:rPr>
                <w:rFonts w:ascii="Times New Roman" w:eastAsia="Times New Roman" w:hAnsi="Times New Roman" w:cs="Times New Roman"/>
              </w:rPr>
              <w:t>Performanță financiară îmbunătățită (KPI relevant pentru profilul fiecărei companii) și furnizarea de servicii (de exemplu, pe baza unui sondaj de satisfacție a clienților) pentru C.N.A.I.R., CFR, CFR Călători și Metrorex [CID], cu cel puțin 10% în 202</w:t>
            </w:r>
            <w:r>
              <w:rPr>
                <w:rFonts w:ascii="Times New Roman" w:eastAsia="Times New Roman" w:hAnsi="Times New Roman" w:cs="Times New Roman"/>
              </w:rPr>
              <w:t>3 față de nivelul de referință al anului 2020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B4" w14:textId="77777777" w:rsidR="00930A19" w:rsidRDefault="0093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5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6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7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8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9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A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B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C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D" w14:textId="77777777" w:rsidR="00930A19" w:rsidRDefault="0093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/>
        </w:rPr>
      </w:pPr>
    </w:p>
    <w:p w14:paraId="000001BE" w14:textId="77777777" w:rsidR="00930A19" w:rsidRDefault="006F2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/>
        </w:rPr>
        <w:t>Calendarul de implementare a investițiilor</w:t>
      </w:r>
    </w:p>
    <w:tbl>
      <w:tblPr>
        <w:tblStyle w:val="a0"/>
        <w:tblW w:w="14250" w:type="dxa"/>
        <w:jc w:val="center"/>
        <w:tblLayout w:type="fixed"/>
        <w:tblLook w:val="0400" w:firstRow="0" w:lastRow="0" w:firstColumn="0" w:lastColumn="0" w:noHBand="0" w:noVBand="1"/>
      </w:tblPr>
      <w:tblGrid>
        <w:gridCol w:w="2310"/>
        <w:gridCol w:w="615"/>
        <w:gridCol w:w="570"/>
        <w:gridCol w:w="525"/>
        <w:gridCol w:w="510"/>
        <w:gridCol w:w="495"/>
        <w:gridCol w:w="495"/>
        <w:gridCol w:w="585"/>
        <w:gridCol w:w="585"/>
        <w:gridCol w:w="555"/>
        <w:gridCol w:w="525"/>
        <w:gridCol w:w="585"/>
        <w:gridCol w:w="525"/>
        <w:gridCol w:w="555"/>
        <w:gridCol w:w="510"/>
        <w:gridCol w:w="600"/>
        <w:gridCol w:w="540"/>
        <w:gridCol w:w="510"/>
        <w:gridCol w:w="510"/>
        <w:gridCol w:w="510"/>
        <w:gridCol w:w="525"/>
        <w:gridCol w:w="585"/>
        <w:gridCol w:w="525"/>
      </w:tblGrid>
      <w:tr w:rsidR="00930A19" w14:paraId="4FF33ABD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C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C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C5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 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C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C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C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C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D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D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D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D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D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D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D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D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E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E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1E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1E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1E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1E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930A19" w14:paraId="41214445" w14:textId="77777777">
        <w:trPr>
          <w:jc w:val="center"/>
        </w:trPr>
        <w:tc>
          <w:tcPr>
            <w:tcW w:w="137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B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I1 – Dezvoltarea infrastructurii rutiere aferente rețelei TEN-T centrale, a unor proiecte care asigură conectivitatea centrelor urbane mari la rețeaua TEN-T, precum și a infrastructurii necesare implementării noilor măsuri de impozitare și control, a siste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melor de management al traficului rutier și asigurarea siguranței rutiere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3444DC37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</w:rPr>
              <w:t>Semnarea contractelor, în urma licitațiilor deschise și competitive și a permiselor relevante obținute, cu avize EIA (Evaluarea Impactului asupra Mediului) și Evaluare Adecvată (parte a Directivei Habitate) emise și încorporate încă din faza de proiectare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50C0F8F4" w14:textId="77777777">
        <w:trPr>
          <w:trHeight w:val="85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9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T1: </w:t>
            </w:r>
            <w:r>
              <w:rPr>
                <w:rFonts w:ascii="Times New Roman" w:eastAsia="Times New Roman" w:hAnsi="Times New Roman" w:cs="Times New Roman"/>
              </w:rPr>
              <w:t>Numărul de km de drumuri noi, realizați (la standardele TEN-T) cu puncte de încărcare pentru  combustibili alternativi, ITS, perdele forestiere, zone de parcare securizate: progres fizic de cel puțin 50% față de obiectivul final T2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161B93B7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0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Numărul de km de drumuri noi, realizați (la standardele TEN-T)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cu 264 de puncte de încărcare pentru  combustibili alternativi, ITS, perdele forestiere 625 Ha, 18 zone de parcare securizate = 434 km.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3AFE9C9C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7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T3. </w:t>
            </w:r>
            <w:r>
              <w:rPr>
                <w:rFonts w:ascii="Times New Roman" w:eastAsia="Times New Roman" w:hAnsi="Times New Roman" w:cs="Times New Roman"/>
              </w:rPr>
              <w:t>Reducerea punctelor negre de siguranță rutieră cu 45% față de valoarea inițială din trimestrul Q2 anul 2021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54CAF14D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6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6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3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64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 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6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6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6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26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6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7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7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27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7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7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7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27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7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8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8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28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8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8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930A19" w14:paraId="0897EEA4" w14:textId="77777777">
        <w:trPr>
          <w:jc w:val="center"/>
        </w:trPr>
        <w:tc>
          <w:tcPr>
            <w:tcW w:w="137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A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I2 – Modernizarea liniilor de cale ferată inclusiv implementarea Sistemului European de Management al Traficului Feroviar (ERTMS), nivel 2, centralizarea stațiilor; reînnoirea și electrificarea liniilor de cale ferată pentru secțiunile selectate (reprezent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ând faza 1 din procesul de modernizare)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7AAD0FC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1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</w:rPr>
              <w:t>Semnarea contractelor, în urma licitațiilor deschise și competitive și a permiselor relevante obținute, cu avize EIA și Evaluare Adecvată (parte a Directivei Habitate) emise, încorporate încă din faza de proiectare.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7F20315B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8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T1.</w:t>
            </w:r>
            <w:r>
              <w:rPr>
                <w:rFonts w:ascii="Times New Roman" w:eastAsia="Times New Roman" w:hAnsi="Times New Roman" w:cs="Times New Roman"/>
              </w:rPr>
              <w:t xml:space="preserve"> Finalizarea investițiilor pentru cel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puțin 50% din ținta totală stabilită în T2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111259C9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F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Infrastructură feroviară nouă / modernizată operațională:</w:t>
            </w:r>
          </w:p>
          <w:p w14:paraId="000002D0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   311 km linii de cale ferată modernizate cu o capacitate crescută cu 30% și cu ERTMS 2 instalat;</w:t>
            </w:r>
          </w:p>
          <w:p w14:paraId="000002D1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   110 km linii de cale ferată electrificată;</w:t>
            </w:r>
          </w:p>
          <w:p w14:paraId="000002D2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•    2,534 km km de căi ferate reînnoite cu o viteză mărită de 15% (viteza medie trebuie atinsă min. 100 km</w:t>
            </w:r>
            <w:r>
              <w:rPr>
                <w:rFonts w:ascii="Times New Roman" w:eastAsia="Times New Roman" w:hAnsi="Times New Roman" w:cs="Times New Roman"/>
              </w:rPr>
              <w:t>/h)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080B32E3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E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E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E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EF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 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F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F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F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2F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2F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2F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2F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0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0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0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0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0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0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0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0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1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1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1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930A19" w14:paraId="30ABF127" w14:textId="77777777">
        <w:trPr>
          <w:jc w:val="center"/>
        </w:trPr>
        <w:tc>
          <w:tcPr>
            <w:tcW w:w="137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5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I3 –   Achiziționare de material rulant sustenabil și modernizarea materialului rulant existent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4F4F31F8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C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Semnarea contractelor în urma unor licitații deschise și competitive.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2C3CD7E7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3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</w:rPr>
              <w:t xml:space="preserve">T1: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Achiziția de material rulant nou electric (32 de trenuri EMU, HEMU pentru serviciu de lung parcurs, scurt parcurs și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lastRenderedPageBreak/>
              <w:t>metropolitan), precum și  Material rulant modernizat cu zero emisii: 30 locomotive și 100 vagoane  - începerea activității operaționale a t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renurilor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35338678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5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5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F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60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 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6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6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6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6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6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6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6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7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7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7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6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77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8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79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A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7B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C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7D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E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Q4</w:t>
            </w:r>
          </w:p>
          <w:p w14:paraId="0000037F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0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Q1</w:t>
            </w:r>
          </w:p>
          <w:p w14:paraId="00000381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2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Q2</w:t>
            </w:r>
          </w:p>
          <w:p w14:paraId="00000383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4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Q3</w:t>
            </w:r>
          </w:p>
          <w:p w14:paraId="00000385" w14:textId="77777777" w:rsidR="00930A19" w:rsidRDefault="006F2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930A19" w14:paraId="14BA835C" w14:textId="77777777">
        <w:trPr>
          <w:jc w:val="center"/>
        </w:trPr>
        <w:tc>
          <w:tcPr>
            <w:tcW w:w="1372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6" w14:textId="77777777" w:rsidR="00930A19" w:rsidRDefault="006F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I4 – Dezvoltarea rețelei de transport cu metroul în Municipiile București și Cluj-Napoca</w:t>
            </w:r>
          </w:p>
          <w:p w14:paraId="0000038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524E2B20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E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M1: </w:t>
            </w:r>
            <w:r>
              <w:rPr>
                <w:rFonts w:ascii="Times New Roman" w:eastAsia="Times New Roman" w:hAnsi="Times New Roman" w:cs="Times New Roman"/>
              </w:rPr>
              <w:t>Semnarea contractelor, în urma licitațiilor deschise și competitive și a permiselor relevante obținute.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1BD94823" w14:textId="77777777">
        <w:trPr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5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Finalizarea investițiilor pentru cel puțin 50% din  ținta totală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19" w14:paraId="79B13490" w14:textId="77777777">
        <w:trPr>
          <w:trHeight w:val="491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C" w14:textId="77777777" w:rsidR="00930A19" w:rsidRDefault="006F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12.7 km de tuneluri metrou cu stațiile aferente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3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4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5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6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7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8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9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A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B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C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D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E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F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0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1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2" w14:textId="77777777" w:rsidR="00930A19" w:rsidRDefault="0093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3E3" w14:textId="77777777" w:rsidR="00930A19" w:rsidRDefault="00930A19"/>
    <w:sectPr w:rsidR="00930A19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19"/>
    <w:rsid w:val="006F2BC9"/>
    <w:rsid w:val="009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C21D"/>
  <w15:docId w15:val="{922E0F5D-E010-4607-B71E-CDC0AA8D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B6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B6BDE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customStyle="1" w:styleId="msonormal0">
    <w:name w:val="msonormal"/>
    <w:basedOn w:val="Normal"/>
    <w:rsid w:val="001B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1B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JWKVjEJGbfMrBDjBH25aC6qyg==">AMUW2mW/LkLHdP7rSoSzsfFR8GW6fm1v5QD9UDRwMWtGtAUnsNs9BHlZGdxyx4RRWMPDIBlu2ZMwJp4kKkGPPkZ50//5TCYr5nf8JdPlBsjTreIhdXAAfPxQgEKuVs61ESAQ9w2c10uD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TEODOR</dc:creator>
  <cp:lastModifiedBy>Mona Amalia Tiplic</cp:lastModifiedBy>
  <cp:revision>2</cp:revision>
  <dcterms:created xsi:type="dcterms:W3CDTF">2021-05-28T13:03:00Z</dcterms:created>
  <dcterms:modified xsi:type="dcterms:W3CDTF">2021-05-30T11:52:00Z</dcterms:modified>
</cp:coreProperties>
</file>