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Anexa 12 -  Etape operaționale</w:t>
      </w:r>
    </w:p>
    <w:p w:rsidR="00000000" w:rsidDel="00000000" w:rsidP="00000000" w:rsidRDefault="00000000" w:rsidRPr="00000000" w14:paraId="00000002">
      <w:pPr>
        <w:spacing w:after="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R1: „Transport sustenabil, decarbonizare și siguranță rutieră” - Îmbunătățirea cadrului strategic, legal și procedural pentru tranziția către transport sustenabil; </w:t>
      </w:r>
    </w:p>
    <w:tbl>
      <w:tblPr>
        <w:tblStyle w:val="Table1"/>
        <w:tblW w:w="144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95"/>
        <w:gridCol w:w="2625"/>
        <w:gridCol w:w="1965"/>
        <w:tblGridChange w:id="0">
          <w:tblGrid>
            <w:gridCol w:w="9895"/>
            <w:gridCol w:w="2625"/>
            <w:gridCol w:w="1965"/>
          </w:tblGrid>
        </w:tblGridChange>
      </w:tblGrid>
      <w:tr>
        <w:tc>
          <w:tcPr>
            <w:vAlign w:val="center"/>
          </w:tcPr>
          <w:p w:rsidR="00000000" w:rsidDel="00000000" w:rsidP="00000000" w:rsidRDefault="00000000" w:rsidRPr="00000000" w14:paraId="00000004">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Etapă</w:t>
            </w:r>
          </w:p>
        </w:tc>
        <w:tc>
          <w:tcPr>
            <w:vAlign w:val="center"/>
          </w:tcPr>
          <w:p w:rsidR="00000000" w:rsidDel="00000000" w:rsidP="00000000" w:rsidRDefault="00000000" w:rsidRPr="00000000" w14:paraId="00000005">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Livrabil</w:t>
            </w:r>
          </w:p>
        </w:tc>
        <w:tc>
          <w:tcPr>
            <w:vAlign w:val="center"/>
          </w:tcPr>
          <w:p w:rsidR="00000000" w:rsidDel="00000000" w:rsidP="00000000" w:rsidRDefault="00000000" w:rsidRPr="00000000" w14:paraId="00000006">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Termen</w:t>
            </w:r>
          </w:p>
        </w:tc>
      </w:tr>
      <w:tr>
        <w:tc>
          <w:tcPr>
            <w:gridSpan w:val="3"/>
            <w:shd w:fill="92d050" w:val="clear"/>
            <w:vAlign w:val="center"/>
          </w:tcPr>
          <w:p w:rsidR="00000000" w:rsidDel="00000000" w:rsidP="00000000" w:rsidRDefault="00000000" w:rsidRPr="00000000" w14:paraId="00000007">
            <w:pPr>
              <w:numPr>
                <w:ilvl w:val="0"/>
                <w:numId w:val="5"/>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Aprobarea pachetului legislativ necesar pentru implementarea noului sistem de taxare pe baza distanței pentru vehiculele de pasageri și marfă poluante, de tonaj greu, pe baza principiilor de impozitare ecologică conform principiului „poluatorul plătește”</w:t>
            </w:r>
            <w:r w:rsidDel="00000000" w:rsidR="00000000" w:rsidRPr="00000000">
              <w:rPr>
                <w:rtl w:val="0"/>
              </w:rPr>
            </w:r>
          </w:p>
        </w:tc>
      </w:tr>
      <w:tr>
        <w:tc>
          <w:tcPr>
            <w:vAlign w:val="center"/>
          </w:tcPr>
          <w:p w:rsidR="00000000" w:rsidDel="00000000" w:rsidP="00000000" w:rsidRDefault="00000000" w:rsidRPr="00000000" w14:paraId="0000000A">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Realizarea unei analize a sistemului actual de taxare, a sistemelor de taxare aplicate în alte state ale Uniunii Europene și a impactului acestei reglementări în România </w:t>
            </w:r>
            <w:r w:rsidDel="00000000" w:rsidR="00000000" w:rsidRPr="00000000">
              <w:rPr>
                <w:rtl w:val="0"/>
              </w:rPr>
            </w:r>
          </w:p>
        </w:tc>
        <w:tc>
          <w:tcPr>
            <w:vAlign w:val="center"/>
          </w:tcPr>
          <w:p w:rsidR="00000000" w:rsidDel="00000000" w:rsidP="00000000" w:rsidRDefault="00000000" w:rsidRPr="00000000" w14:paraId="0000000B">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Analiză de impact realizată</w:t>
            </w:r>
            <w:r w:rsidDel="00000000" w:rsidR="00000000" w:rsidRPr="00000000">
              <w:rPr>
                <w:rtl w:val="0"/>
              </w:rPr>
            </w:r>
          </w:p>
        </w:tc>
        <w:tc>
          <w:tcPr>
            <w:vAlign w:val="center"/>
          </w:tcPr>
          <w:p w:rsidR="00000000" w:rsidDel="00000000" w:rsidP="00000000" w:rsidRDefault="00000000" w:rsidRPr="00000000" w14:paraId="0000000C">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II 2022</w:t>
            </w:r>
          </w:p>
        </w:tc>
      </w:tr>
      <w:tr>
        <w:tc>
          <w:tcPr>
            <w:vAlign w:val="center"/>
          </w:tcPr>
          <w:p w:rsidR="00000000" w:rsidDel="00000000" w:rsidP="00000000" w:rsidRDefault="00000000" w:rsidRPr="00000000" w14:paraId="0000000D">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Elaborarea și aprobarea politicii de taxare după noile principii, de către Guvernul României</w:t>
            </w:r>
            <w:r w:rsidDel="00000000" w:rsidR="00000000" w:rsidRPr="00000000">
              <w:rPr>
                <w:rtl w:val="0"/>
              </w:rPr>
            </w:r>
          </w:p>
        </w:tc>
        <w:tc>
          <w:tcPr>
            <w:vAlign w:val="center"/>
          </w:tcPr>
          <w:p w:rsidR="00000000" w:rsidDel="00000000" w:rsidP="00000000" w:rsidRDefault="00000000" w:rsidRPr="00000000" w14:paraId="0000000E">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Politică aprobată la nivel de Guvern</w:t>
            </w:r>
          </w:p>
        </w:tc>
        <w:tc>
          <w:tcPr>
            <w:vAlign w:val="center"/>
          </w:tcPr>
          <w:p w:rsidR="00000000" w:rsidDel="00000000" w:rsidP="00000000" w:rsidRDefault="00000000" w:rsidRPr="00000000" w14:paraId="0000000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w:t>
            </w:r>
            <w:r w:rsidDel="00000000" w:rsidR="00000000" w:rsidRPr="00000000">
              <w:rPr>
                <w:rFonts w:ascii="Times New Roman" w:cs="Times New Roman" w:eastAsia="Times New Roman" w:hAnsi="Times New Roman"/>
                <w:sz w:val="24"/>
                <w:szCs w:val="24"/>
                <w:rtl w:val="0"/>
              </w:rPr>
              <w:t xml:space="preserve">IV</w:t>
            </w:r>
            <w:r w:rsidDel="00000000" w:rsidR="00000000" w:rsidRPr="00000000">
              <w:rPr>
                <w:rFonts w:ascii="Times New Roman" w:cs="Times New Roman" w:eastAsia="Times New Roman" w:hAnsi="Times New Roman"/>
                <w:color w:val="000000"/>
                <w:sz w:val="24"/>
                <w:szCs w:val="24"/>
                <w:rtl w:val="0"/>
              </w:rPr>
              <w:t xml:space="preserve"> 202</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r>
      <w:tr>
        <w:tc>
          <w:tcPr>
            <w:vAlign w:val="center"/>
          </w:tcPr>
          <w:p w:rsidR="00000000" w:rsidDel="00000000" w:rsidP="00000000" w:rsidRDefault="00000000" w:rsidRPr="00000000" w14:paraId="0000001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Aprobarea Planului Național pentru Controlul Poluării Aerului. </w:t>
            </w:r>
          </w:p>
        </w:tc>
        <w:tc>
          <w:tcPr>
            <w:vAlign w:val="center"/>
          </w:tcPr>
          <w:p w:rsidR="00000000" w:rsidDel="00000000" w:rsidP="00000000" w:rsidRDefault="00000000" w:rsidRPr="00000000" w14:paraId="00000011">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Plan național aprobat</w:t>
            </w:r>
            <w:r w:rsidDel="00000000" w:rsidR="00000000" w:rsidRPr="00000000">
              <w:rPr>
                <w:rtl w:val="0"/>
              </w:rPr>
            </w:r>
          </w:p>
        </w:tc>
        <w:tc>
          <w:tcPr>
            <w:vAlign w:val="center"/>
          </w:tcPr>
          <w:p w:rsidR="00000000" w:rsidDel="00000000" w:rsidP="00000000" w:rsidRDefault="00000000" w:rsidRPr="00000000" w14:paraId="00000012">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Trimestrul III 2022</w:t>
            </w:r>
            <w:r w:rsidDel="00000000" w:rsidR="00000000" w:rsidRPr="00000000">
              <w:rPr>
                <w:rtl w:val="0"/>
              </w:rPr>
            </w:r>
          </w:p>
        </w:tc>
      </w:tr>
      <w:tr>
        <w:tc>
          <w:tcPr>
            <w:gridSpan w:val="3"/>
            <w:shd w:fill="92d050" w:val="clear"/>
            <w:vAlign w:val="center"/>
          </w:tcPr>
          <w:p w:rsidR="00000000" w:rsidDel="00000000" w:rsidP="00000000" w:rsidRDefault="00000000" w:rsidRPr="00000000" w14:paraId="00000013">
            <w:pPr>
              <w:numPr>
                <w:ilvl w:val="0"/>
                <w:numId w:val="5"/>
              </w:numPr>
              <w:pBdr>
                <w:top w:space="0" w:sz="0" w:val="nil"/>
                <w:left w:space="0" w:sz="0" w:val="nil"/>
                <w:bottom w:space="0" w:sz="0" w:val="nil"/>
                <w:right w:space="0" w:sz="0" w:val="nil"/>
                <w:between w:space="0" w:sz="0" w:val="nil"/>
              </w:pBdr>
              <w:spacing w:after="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Adoptarea Strategiei naționale privind siguranța rutieră și a pachetului legislativ aferent, precum și implementarea de măsuri pentru reducerea cu 45% a numărului de puncte negre</w:t>
            </w:r>
            <w:r w:rsidDel="00000000" w:rsidR="00000000" w:rsidRPr="00000000">
              <w:rPr>
                <w:rtl w:val="0"/>
              </w:rPr>
            </w:r>
          </w:p>
        </w:tc>
      </w:tr>
      <w:tr>
        <w:tc>
          <w:tcPr>
            <w:vAlign w:val="center"/>
          </w:tcPr>
          <w:p w:rsidR="00000000" w:rsidDel="00000000" w:rsidP="00000000" w:rsidRDefault="00000000" w:rsidRPr="00000000" w14:paraId="0000001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Aprobarea de către Guvern a planului de acțiuni pentru implementarea Strategiei, cu indicarea instituțiilor responsabile și mecanismelor de colaborare pentru implementarea planului de către toate instituțiile cu rol reglementat in legislația actuală</w:t>
            </w:r>
          </w:p>
        </w:tc>
        <w:tc>
          <w:tcPr>
            <w:vAlign w:val="center"/>
          </w:tcPr>
          <w:p w:rsidR="00000000" w:rsidDel="00000000" w:rsidP="00000000" w:rsidRDefault="00000000" w:rsidRPr="00000000" w14:paraId="00000017">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Plan de acțiuni adoptat</w:t>
            </w:r>
          </w:p>
        </w:tc>
        <w:tc>
          <w:tcPr>
            <w:vAlign w:val="center"/>
          </w:tcPr>
          <w:p w:rsidR="00000000" w:rsidDel="00000000" w:rsidP="00000000" w:rsidRDefault="00000000" w:rsidRPr="00000000" w14:paraId="00000018">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IV2022</w:t>
            </w:r>
          </w:p>
        </w:tc>
      </w:tr>
      <w:tr>
        <w:tc>
          <w:tcPr>
            <w:vAlign w:val="center"/>
          </w:tcPr>
          <w:p w:rsidR="00000000" w:rsidDel="00000000" w:rsidP="00000000" w:rsidRDefault="00000000" w:rsidRPr="00000000" w14:paraId="0000001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Elaborarea și adoptarea pachetului legislativ privind îmbunătățirea siguranței rutiere </w:t>
            </w:r>
          </w:p>
        </w:tc>
        <w:tc>
          <w:tcPr>
            <w:vAlign w:val="center"/>
          </w:tcPr>
          <w:p w:rsidR="00000000" w:rsidDel="00000000" w:rsidP="00000000" w:rsidRDefault="00000000" w:rsidRPr="00000000" w14:paraId="0000001A">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Pachet legislativ adoptat</w:t>
            </w:r>
          </w:p>
        </w:tc>
        <w:tc>
          <w:tcPr>
            <w:shd w:fill="auto" w:val="clear"/>
            <w:vAlign w:val="center"/>
          </w:tcPr>
          <w:p w:rsidR="00000000" w:rsidDel="00000000" w:rsidP="00000000" w:rsidRDefault="00000000" w:rsidRPr="00000000" w14:paraId="0000001B">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IV 2023</w:t>
            </w:r>
          </w:p>
        </w:tc>
      </w:tr>
      <w:tr>
        <w:trPr>
          <w:trHeight w:val="878" w:hRule="atLeast"/>
        </w:trPr>
        <w:tc>
          <w:tcPr>
            <w:vAlign w:val="center"/>
          </w:tcPr>
          <w:p w:rsidR="00000000" w:rsidDel="00000000" w:rsidP="00000000" w:rsidRDefault="00000000" w:rsidRPr="00000000" w14:paraId="0000001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Aprobarea, la nivel de Guvern, unui ghid de operaționalizare a măsurilor de siguranță rutieră aprobate la nivel de strategie precum și în cadrul normativ existent.</w:t>
            </w:r>
          </w:p>
          <w:p w:rsidR="00000000" w:rsidDel="00000000" w:rsidP="00000000" w:rsidRDefault="00000000" w:rsidRPr="00000000" w14:paraId="0000001D">
            <w:pPr>
              <w:spacing w:line="276" w:lineRule="auto"/>
              <w:jc w:val="both"/>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1E">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Ghid de implementare adoptat</w:t>
            </w:r>
          </w:p>
        </w:tc>
        <w:tc>
          <w:tcPr>
            <w:shd w:fill="auto" w:val="clear"/>
            <w:vAlign w:val="center"/>
          </w:tcPr>
          <w:p w:rsidR="00000000" w:rsidDel="00000000" w:rsidP="00000000" w:rsidRDefault="00000000" w:rsidRPr="00000000" w14:paraId="0000001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IV 2023</w:t>
            </w:r>
          </w:p>
        </w:tc>
      </w:tr>
      <w:tr>
        <w:tc>
          <w:tcPr>
            <w:gridSpan w:val="3"/>
            <w:shd w:fill="92d050" w:val="clear"/>
            <w:vAlign w:val="center"/>
          </w:tcPr>
          <w:p w:rsidR="00000000" w:rsidDel="00000000" w:rsidP="00000000" w:rsidRDefault="00000000" w:rsidRPr="00000000" w14:paraId="00000020">
            <w:pPr>
              <w:numPr>
                <w:ilvl w:val="0"/>
                <w:numId w:val="5"/>
              </w:numPr>
              <w:pBdr>
                <w:top w:space="0" w:sz="0" w:val="nil"/>
                <w:left w:space="0" w:sz="0" w:val="nil"/>
                <w:bottom w:space="0" w:sz="0" w:val="nil"/>
                <w:right w:space="0" w:sz="0" w:val="nil"/>
                <w:between w:space="0" w:sz="0" w:val="nil"/>
              </w:pBdr>
              <w:spacing w:after="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Aprobarea cadrului strategic și procedural pentru dezvoltarea infrastructurii feroviare și managementul traficului feroviar</w:t>
            </w:r>
            <w:r w:rsidDel="00000000" w:rsidR="00000000" w:rsidRPr="00000000">
              <w:rPr>
                <w:rtl w:val="0"/>
              </w:rPr>
            </w:r>
          </w:p>
        </w:tc>
      </w:tr>
      <w:tr>
        <w:tc>
          <w:tcPr>
            <w:vAlign w:val="center"/>
          </w:tcPr>
          <w:p w:rsidR="00000000" w:rsidDel="00000000" w:rsidP="00000000" w:rsidRDefault="00000000" w:rsidRPr="00000000" w14:paraId="0000002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Dezvoltarea unui sistem software și proceduri aferente care vor permite administratorului infrastructurii feroviare să înregistreze mai bine consumul de energie al trenurilor și, de asemenea, să monitorizeze energia regenerabilă utilizată în sistemul feroviar.</w:t>
            </w:r>
          </w:p>
        </w:tc>
        <w:tc>
          <w:tcPr>
            <w:vAlign w:val="center"/>
          </w:tcPr>
          <w:p w:rsidR="00000000" w:rsidDel="00000000" w:rsidP="00000000" w:rsidRDefault="00000000" w:rsidRPr="00000000" w14:paraId="00000024">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Sistem software instalat</w:t>
            </w:r>
          </w:p>
          <w:p w:rsidR="00000000" w:rsidDel="00000000" w:rsidP="00000000" w:rsidRDefault="00000000" w:rsidRPr="00000000" w14:paraId="00000025">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Procedură de lucru aprobată</w:t>
            </w:r>
          </w:p>
        </w:tc>
        <w:tc>
          <w:tcPr>
            <w:vAlign w:val="center"/>
          </w:tcPr>
          <w:p w:rsidR="00000000" w:rsidDel="00000000" w:rsidP="00000000" w:rsidRDefault="00000000" w:rsidRPr="00000000" w14:paraId="00000026">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IV 2023</w:t>
            </w:r>
          </w:p>
        </w:tc>
      </w:tr>
      <w:tr>
        <w:tc>
          <w:tcPr>
            <w:vAlign w:val="center"/>
          </w:tcPr>
          <w:p w:rsidR="00000000" w:rsidDel="00000000" w:rsidP="00000000" w:rsidRDefault="00000000" w:rsidRPr="00000000" w14:paraId="0000002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Analiză a cadrului de reglementare existent care să permită implementarea unui sistem de frânare regenerativă în rețeaua feroviară</w:t>
            </w:r>
          </w:p>
        </w:tc>
        <w:tc>
          <w:tcPr>
            <w:vAlign w:val="center"/>
          </w:tcPr>
          <w:p w:rsidR="00000000" w:rsidDel="00000000" w:rsidP="00000000" w:rsidRDefault="00000000" w:rsidRPr="00000000" w14:paraId="00000028">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Analiză livrată</w:t>
            </w:r>
          </w:p>
        </w:tc>
        <w:tc>
          <w:tcPr>
            <w:shd w:fill="auto" w:val="clear"/>
            <w:vAlign w:val="center"/>
          </w:tcPr>
          <w:p w:rsidR="00000000" w:rsidDel="00000000" w:rsidP="00000000" w:rsidRDefault="00000000" w:rsidRPr="00000000" w14:paraId="00000029">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IV 2022</w:t>
            </w:r>
          </w:p>
        </w:tc>
      </w:tr>
      <w:tr>
        <w:tc>
          <w:tcPr>
            <w:vAlign w:val="center"/>
          </w:tcPr>
          <w:p w:rsidR="00000000" w:rsidDel="00000000" w:rsidP="00000000" w:rsidRDefault="00000000" w:rsidRPr="00000000" w14:paraId="0000002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Elaborarea și modificarea legislației necesare pentru a reglementa utilizarea energiei recuperabile prin frânare, precum și a altor aspecte necesare pentru utilizarea optimă a energiei electrice pe infrastructura feroviară</w:t>
            </w:r>
          </w:p>
        </w:tc>
        <w:tc>
          <w:tcPr>
            <w:vAlign w:val="center"/>
          </w:tcPr>
          <w:p w:rsidR="00000000" w:rsidDel="00000000" w:rsidP="00000000" w:rsidRDefault="00000000" w:rsidRPr="00000000" w14:paraId="0000002B">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Pachet legislativ adoptat</w:t>
            </w:r>
          </w:p>
        </w:tc>
        <w:tc>
          <w:tcPr>
            <w:shd w:fill="auto" w:val="clear"/>
            <w:vAlign w:val="center"/>
          </w:tcPr>
          <w:p w:rsidR="00000000" w:rsidDel="00000000" w:rsidP="00000000" w:rsidRDefault="00000000" w:rsidRPr="00000000" w14:paraId="0000002C">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IV 2024</w:t>
            </w:r>
          </w:p>
        </w:tc>
      </w:tr>
      <w:tr>
        <w:tc>
          <w:tcPr>
            <w:vAlign w:val="center"/>
          </w:tcPr>
          <w:p w:rsidR="00000000" w:rsidDel="00000000" w:rsidP="00000000" w:rsidRDefault="00000000" w:rsidRPr="00000000" w14:paraId="0000002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Modificarea contractului dintre administratorul feroviar și operatorul de transport feroviar pentru a permite furnizarea de energie recuperabilă prin frânare, acolo unde materialul rulant al operatorului permite acest lucru</w:t>
            </w:r>
          </w:p>
        </w:tc>
        <w:tc>
          <w:tcPr>
            <w:vAlign w:val="center"/>
          </w:tcPr>
          <w:p w:rsidR="00000000" w:rsidDel="00000000" w:rsidP="00000000" w:rsidRDefault="00000000" w:rsidRPr="00000000" w14:paraId="0000002E">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Contract modificat</w:t>
            </w:r>
          </w:p>
        </w:tc>
        <w:tc>
          <w:tcPr>
            <w:shd w:fill="auto" w:val="clear"/>
            <w:vAlign w:val="center"/>
          </w:tcPr>
          <w:p w:rsidR="00000000" w:rsidDel="00000000" w:rsidP="00000000" w:rsidRDefault="00000000" w:rsidRPr="00000000" w14:paraId="0000002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II 2026</w:t>
            </w:r>
          </w:p>
        </w:tc>
      </w:tr>
      <w:tr>
        <w:tc>
          <w:tcPr>
            <w:vAlign w:val="center"/>
          </w:tcPr>
          <w:p w:rsidR="00000000" w:rsidDel="00000000" w:rsidP="00000000" w:rsidRDefault="00000000" w:rsidRPr="00000000" w14:paraId="0000003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Realizarea unui studiu pentru modernizarea managementului traficului feroviar</w:t>
            </w:r>
          </w:p>
        </w:tc>
        <w:tc>
          <w:tcPr>
            <w:vAlign w:val="center"/>
          </w:tcPr>
          <w:p w:rsidR="00000000" w:rsidDel="00000000" w:rsidP="00000000" w:rsidRDefault="00000000" w:rsidRPr="00000000" w14:paraId="00000031">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Studiu livrat</w:t>
            </w:r>
          </w:p>
        </w:tc>
        <w:tc>
          <w:tcPr>
            <w:shd w:fill="auto" w:val="clear"/>
            <w:vAlign w:val="center"/>
          </w:tcPr>
          <w:p w:rsidR="00000000" w:rsidDel="00000000" w:rsidP="00000000" w:rsidRDefault="00000000" w:rsidRPr="00000000" w14:paraId="00000032">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III 2022</w:t>
            </w:r>
          </w:p>
        </w:tc>
      </w:tr>
      <w:tr>
        <w:tc>
          <w:tcPr>
            <w:vAlign w:val="center"/>
          </w:tcPr>
          <w:p w:rsidR="00000000" w:rsidDel="00000000" w:rsidP="00000000" w:rsidRDefault="00000000" w:rsidRPr="00000000" w14:paraId="0000003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Elaborarea și adoptarea procedurii de management al traficului feroviar</w:t>
            </w:r>
          </w:p>
        </w:tc>
        <w:tc>
          <w:tcPr>
            <w:vAlign w:val="center"/>
          </w:tcPr>
          <w:p w:rsidR="00000000" w:rsidDel="00000000" w:rsidP="00000000" w:rsidRDefault="00000000" w:rsidRPr="00000000" w14:paraId="00000034">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Procedură adoptată</w:t>
            </w:r>
          </w:p>
        </w:tc>
        <w:tc>
          <w:tcPr>
            <w:shd w:fill="auto" w:val="clear"/>
            <w:vAlign w:val="center"/>
          </w:tcPr>
          <w:p w:rsidR="00000000" w:rsidDel="00000000" w:rsidP="00000000" w:rsidRDefault="00000000" w:rsidRPr="00000000" w14:paraId="00000035">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II 2023</w:t>
            </w:r>
          </w:p>
        </w:tc>
      </w:tr>
      <w:tr>
        <w:tc>
          <w:tcPr>
            <w:vAlign w:val="center"/>
          </w:tcPr>
          <w:p w:rsidR="00000000" w:rsidDel="00000000" w:rsidP="00000000" w:rsidRDefault="00000000" w:rsidRPr="00000000" w14:paraId="0000003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Elaborarea și adoptarea unui nou mers al trenurilor</w:t>
            </w:r>
          </w:p>
        </w:tc>
        <w:tc>
          <w:tcPr>
            <w:vAlign w:val="center"/>
          </w:tcPr>
          <w:p w:rsidR="00000000" w:rsidDel="00000000" w:rsidP="00000000" w:rsidRDefault="00000000" w:rsidRPr="00000000" w14:paraId="00000037">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Mers al trenurilor adoptat</w:t>
            </w:r>
          </w:p>
        </w:tc>
        <w:tc>
          <w:tcPr>
            <w:vAlign w:val="center"/>
          </w:tcPr>
          <w:p w:rsidR="00000000" w:rsidDel="00000000" w:rsidP="00000000" w:rsidRDefault="00000000" w:rsidRPr="00000000" w14:paraId="00000038">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IV 2023</w:t>
            </w:r>
          </w:p>
        </w:tc>
      </w:tr>
      <w:tr>
        <w:tc>
          <w:tcPr>
            <w:vAlign w:val="center"/>
          </w:tcPr>
          <w:p w:rsidR="00000000" w:rsidDel="00000000" w:rsidP="00000000" w:rsidRDefault="00000000" w:rsidRPr="00000000" w14:paraId="0000003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Pilotarea și operaționalizarea noului sistem de management al traficului</w:t>
            </w:r>
          </w:p>
        </w:tc>
        <w:tc>
          <w:tcPr>
            <w:vAlign w:val="center"/>
          </w:tcPr>
          <w:p w:rsidR="00000000" w:rsidDel="00000000" w:rsidP="00000000" w:rsidRDefault="00000000" w:rsidRPr="00000000" w14:paraId="0000003A">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Sistem de management al traficului implementat</w:t>
            </w:r>
          </w:p>
        </w:tc>
        <w:tc>
          <w:tcPr>
            <w:vAlign w:val="center"/>
          </w:tcPr>
          <w:p w:rsidR="00000000" w:rsidDel="00000000" w:rsidP="00000000" w:rsidRDefault="00000000" w:rsidRPr="00000000" w14:paraId="0000003B">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IV 2023</w:t>
            </w:r>
          </w:p>
        </w:tc>
      </w:tr>
      <w:tr>
        <w:tc>
          <w:tcPr>
            <w:vAlign w:val="center"/>
          </w:tcPr>
          <w:p w:rsidR="00000000" w:rsidDel="00000000" w:rsidP="00000000" w:rsidRDefault="00000000" w:rsidRPr="00000000" w14:paraId="0000003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Intrarea în vigoare a planului de acțiune pentru dezvoltarea infrastructurii feroviare 2021-25, care va include:</w:t>
            </w:r>
          </w:p>
          <w:p w:rsidR="00000000" w:rsidDel="00000000" w:rsidP="00000000" w:rsidRDefault="00000000" w:rsidRPr="00000000" w14:paraId="0000003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sistem cu indicatori pentru prioritizarea investițiilor în infrastructura feroviară;</w:t>
            </w:r>
          </w:p>
          <w:p w:rsidR="00000000" w:rsidDel="00000000" w:rsidP="00000000" w:rsidRDefault="00000000" w:rsidRPr="00000000" w14:paraId="0000003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structură responsabilă cu pregătirea proiectului;</w:t>
            </w:r>
          </w:p>
          <w:p w:rsidR="00000000" w:rsidDel="00000000" w:rsidP="00000000" w:rsidRDefault="00000000" w:rsidRPr="00000000" w14:paraId="0000003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Măsuri de creștere a traficului de marfă feroviar cu 10% până în 2026 față de 2020;</w:t>
            </w:r>
          </w:p>
          <w:p w:rsidR="00000000" w:rsidDel="00000000" w:rsidP="00000000" w:rsidRDefault="00000000" w:rsidRPr="00000000" w14:paraId="0000004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Ținta de a crește numărul de pasageri de la 20% la 50% (în funcție de traseu);</w:t>
            </w:r>
          </w:p>
          <w:p w:rsidR="00000000" w:rsidDel="00000000" w:rsidP="00000000" w:rsidRDefault="00000000" w:rsidRPr="00000000" w14:paraId="0000004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Măsuri de creștere a utilizării materialului rulant nou achiziționat;</w:t>
            </w:r>
          </w:p>
          <w:p w:rsidR="00000000" w:rsidDel="00000000" w:rsidP="00000000" w:rsidRDefault="00000000" w:rsidRPr="00000000" w14:paraId="0000004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Măsuri pentru trecerea pasagerilor de la utilizarea microbuzelor pe rutele de navetă la utilizarea căilor ferate.</w:t>
            </w:r>
          </w:p>
        </w:tc>
        <w:tc>
          <w:tcPr>
            <w:vAlign w:val="center"/>
          </w:tcPr>
          <w:p w:rsidR="00000000" w:rsidDel="00000000" w:rsidP="00000000" w:rsidRDefault="00000000" w:rsidRPr="00000000" w14:paraId="00000043">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Plan de acțiune aprobat</w:t>
            </w:r>
            <w:r w:rsidDel="00000000" w:rsidR="00000000" w:rsidRPr="00000000">
              <w:rPr>
                <w:rtl w:val="0"/>
              </w:rPr>
            </w:r>
          </w:p>
        </w:tc>
        <w:tc>
          <w:tcPr>
            <w:vAlign w:val="center"/>
          </w:tcPr>
          <w:p w:rsidR="00000000" w:rsidDel="00000000" w:rsidP="00000000" w:rsidRDefault="00000000" w:rsidRPr="00000000" w14:paraId="00000044">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Trimestrul II 2022</w:t>
            </w:r>
            <w:r w:rsidDel="00000000" w:rsidR="00000000" w:rsidRPr="00000000">
              <w:rPr>
                <w:rtl w:val="0"/>
              </w:rPr>
            </w:r>
          </w:p>
        </w:tc>
      </w:tr>
      <w:tr>
        <w:tc>
          <w:tcPr>
            <w:gridSpan w:val="3"/>
            <w:shd w:fill="92d050" w:val="clear"/>
            <w:vAlign w:val="center"/>
          </w:tcPr>
          <w:p w:rsidR="00000000" w:rsidDel="00000000" w:rsidP="00000000" w:rsidRDefault="00000000" w:rsidRPr="00000000" w14:paraId="00000045">
            <w:pPr>
              <w:numPr>
                <w:ilvl w:val="0"/>
                <w:numId w:val="5"/>
              </w:numPr>
              <w:pBdr>
                <w:top w:space="0" w:sz="0" w:val="nil"/>
                <w:left w:space="0" w:sz="0" w:val="nil"/>
                <w:bottom w:space="0" w:sz="0" w:val="nil"/>
                <w:right w:space="0" w:sz="0" w:val="nil"/>
                <w:between w:space="0" w:sz="0" w:val="nil"/>
              </w:pBdr>
              <w:spacing w:after="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Aprobarea Strategiei privind transportul naval</w:t>
            </w:r>
            <w:r w:rsidDel="00000000" w:rsidR="00000000" w:rsidRPr="00000000">
              <w:rPr>
                <w:rFonts w:ascii="Times New Roman" w:cs="Times New Roman" w:eastAsia="Times New Roman" w:hAnsi="Times New Roman"/>
                <w:b w:val="1"/>
                <w:color w:val="000000"/>
                <w:sz w:val="24"/>
                <w:szCs w:val="24"/>
                <w:rtl w:val="0"/>
              </w:rPr>
              <w:t xml:space="preserve"> și integrarea cu alte moduri de transport</w:t>
            </w:r>
            <w:r w:rsidDel="00000000" w:rsidR="00000000" w:rsidRPr="00000000">
              <w:rPr>
                <w:rtl w:val="0"/>
              </w:rPr>
            </w:r>
          </w:p>
        </w:tc>
      </w:tr>
      <w:tr>
        <w:tc>
          <w:tcPr>
            <w:vAlign w:val="center"/>
          </w:tcPr>
          <w:p w:rsidR="00000000" w:rsidDel="00000000" w:rsidP="00000000" w:rsidRDefault="00000000" w:rsidRPr="00000000" w14:paraId="0000004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Elaborarea și aprobarea Strategiei privind transportul naval</w:t>
            </w:r>
          </w:p>
        </w:tc>
        <w:tc>
          <w:tcPr>
            <w:vAlign w:val="center"/>
          </w:tcPr>
          <w:p w:rsidR="00000000" w:rsidDel="00000000" w:rsidP="00000000" w:rsidRDefault="00000000" w:rsidRPr="00000000" w14:paraId="00000049">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Strategie aprobată</w:t>
            </w:r>
          </w:p>
        </w:tc>
        <w:tc>
          <w:tcPr>
            <w:vAlign w:val="center"/>
          </w:tcPr>
          <w:p w:rsidR="00000000" w:rsidDel="00000000" w:rsidP="00000000" w:rsidRDefault="00000000" w:rsidRPr="00000000" w14:paraId="0000004A">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color w:val="000000"/>
                <w:sz w:val="24"/>
                <w:szCs w:val="24"/>
                <w:rtl w:val="0"/>
              </w:rPr>
              <w:t xml:space="preserve"> 2023</w:t>
            </w:r>
          </w:p>
        </w:tc>
      </w:tr>
      <w:tr>
        <w:tc>
          <w:tcPr>
            <w:vAlign w:val="center"/>
          </w:tcPr>
          <w:p w:rsidR="00000000" w:rsidDel="00000000" w:rsidP="00000000" w:rsidRDefault="00000000" w:rsidRPr="00000000" w14:paraId="0000004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Elaborarea și aprobarea planului de acțiuni pentru implementarea Strategiei privind transportul naval</w:t>
            </w:r>
          </w:p>
        </w:tc>
        <w:tc>
          <w:tcPr>
            <w:vAlign w:val="center"/>
          </w:tcPr>
          <w:p w:rsidR="00000000" w:rsidDel="00000000" w:rsidP="00000000" w:rsidRDefault="00000000" w:rsidRPr="00000000" w14:paraId="0000004C">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Plan de acțiuni aprobat</w:t>
            </w:r>
          </w:p>
        </w:tc>
        <w:tc>
          <w:tcPr>
            <w:vAlign w:val="center"/>
          </w:tcPr>
          <w:p w:rsidR="00000000" w:rsidDel="00000000" w:rsidP="00000000" w:rsidRDefault="00000000" w:rsidRPr="00000000" w14:paraId="0000004D">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color w:val="000000"/>
                <w:sz w:val="24"/>
                <w:szCs w:val="24"/>
                <w:rtl w:val="0"/>
              </w:rPr>
              <w:t xml:space="preserve"> 2023</w:t>
            </w:r>
          </w:p>
        </w:tc>
      </w:tr>
      <w:tr>
        <w:tc>
          <w:tcPr>
            <w:vAlign w:val="center"/>
          </w:tcPr>
          <w:p w:rsidR="00000000" w:rsidDel="00000000" w:rsidP="00000000" w:rsidRDefault="00000000" w:rsidRPr="00000000" w14:paraId="0000004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Elaborarea și aprobarea unui ghid de prioritizare a investițiilor în domeniul naval</w:t>
            </w:r>
          </w:p>
        </w:tc>
        <w:tc>
          <w:tcPr>
            <w:vAlign w:val="center"/>
          </w:tcPr>
          <w:p w:rsidR="00000000" w:rsidDel="00000000" w:rsidP="00000000" w:rsidRDefault="00000000" w:rsidRPr="00000000" w14:paraId="0000004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Ghid aprobat</w:t>
            </w:r>
          </w:p>
        </w:tc>
        <w:tc>
          <w:tcPr>
            <w:vAlign w:val="center"/>
          </w:tcPr>
          <w:p w:rsidR="00000000" w:rsidDel="00000000" w:rsidP="00000000" w:rsidRDefault="00000000" w:rsidRPr="00000000" w14:paraId="00000050">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II 202</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r>
      <w:tr>
        <w:tc>
          <w:tcPr>
            <w:vAlign w:val="center"/>
          </w:tcPr>
          <w:p w:rsidR="00000000" w:rsidDel="00000000" w:rsidP="00000000" w:rsidRDefault="00000000" w:rsidRPr="00000000" w14:paraId="0000005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Intrarea în vigoare a Strategiei de transport naval, care va include:</w:t>
            </w:r>
          </w:p>
          <w:p w:rsidR="00000000" w:rsidDel="00000000" w:rsidP="00000000" w:rsidRDefault="00000000" w:rsidRPr="00000000" w14:paraId="0000005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Analiza situației actuale a căilor navigabile românești și a situației porturilor românești în ceea ce privește infrastructura; analiza proiectelor din sectorul naval românesc; analiza tendințelor și scenariilor viitoare;</w:t>
            </w:r>
          </w:p>
          <w:p w:rsidR="00000000" w:rsidDel="00000000" w:rsidP="00000000" w:rsidRDefault="00000000" w:rsidRPr="00000000" w14:paraId="0000005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Propuneri de modificare a cadrului legal și instituțional privind modul de gestionare a infrastructurii de transport maritim cu obiectivele de integrare a transportului pe apă cu alte moduri de transport, pregătirea planurilor de dezvoltare a porturilor și creșterea transportului de marfă pe Dunăre cu 15% până în 2026.</w:t>
            </w:r>
          </w:p>
        </w:tc>
        <w:tc>
          <w:tcPr>
            <w:vAlign w:val="center"/>
          </w:tcPr>
          <w:p w:rsidR="00000000" w:rsidDel="00000000" w:rsidP="00000000" w:rsidRDefault="00000000" w:rsidRPr="00000000" w14:paraId="00000054">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Propuneri instituționale/legislative elaborate</w:t>
            </w:r>
            <w:r w:rsidDel="00000000" w:rsidR="00000000" w:rsidRPr="00000000">
              <w:rPr>
                <w:rtl w:val="0"/>
              </w:rPr>
            </w:r>
          </w:p>
        </w:tc>
        <w:tc>
          <w:tcPr>
            <w:vAlign w:val="center"/>
          </w:tcPr>
          <w:p w:rsidR="00000000" w:rsidDel="00000000" w:rsidP="00000000" w:rsidRDefault="00000000" w:rsidRPr="00000000" w14:paraId="00000055">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Trimestrul II 2023</w:t>
            </w:r>
            <w:r w:rsidDel="00000000" w:rsidR="00000000" w:rsidRPr="00000000">
              <w:rPr>
                <w:rtl w:val="0"/>
              </w:rPr>
            </w:r>
          </w:p>
        </w:tc>
      </w:tr>
      <w:tr>
        <w:trPr>
          <w:trHeight w:val="491" w:hRule="atLeast"/>
        </w:trPr>
        <w:tc>
          <w:tcPr>
            <w:gridSpan w:val="3"/>
            <w:shd w:fill="92d050" w:val="clear"/>
            <w:vAlign w:val="center"/>
          </w:tcPr>
          <w:p w:rsidR="00000000" w:rsidDel="00000000" w:rsidP="00000000" w:rsidRDefault="00000000" w:rsidRPr="00000000" w14:paraId="00000056">
            <w:pPr>
              <w:numPr>
                <w:ilvl w:val="0"/>
                <w:numId w:val="5"/>
              </w:numPr>
              <w:pBdr>
                <w:top w:space="0" w:sz="0" w:val="nil"/>
                <w:left w:space="0" w:sz="0" w:val="nil"/>
                <w:bottom w:space="0" w:sz="0" w:val="nil"/>
                <w:right w:space="0" w:sz="0" w:val="nil"/>
                <w:between w:space="0" w:sz="0" w:val="nil"/>
              </w:pBdr>
              <w:spacing w:after="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Aprobarea Strategiei privind Sistemele de Trafic Inteligent (ITS) și a  pachetului legislativ aferent</w:t>
            </w:r>
            <w:r w:rsidDel="00000000" w:rsidR="00000000" w:rsidRPr="00000000">
              <w:rPr>
                <w:rtl w:val="0"/>
              </w:rPr>
            </w:r>
          </w:p>
        </w:tc>
      </w:tr>
      <w:tr>
        <w:tc>
          <w:tcPr>
            <w:vAlign w:val="center"/>
          </w:tcPr>
          <w:p w:rsidR="00000000" w:rsidDel="00000000" w:rsidP="00000000" w:rsidRDefault="00000000" w:rsidRPr="00000000" w14:paraId="0000005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Aprobarea de către Guvern a Strategiei privind sistemele de transport inteligente (ITS)</w:t>
            </w:r>
          </w:p>
        </w:tc>
        <w:tc>
          <w:tcPr>
            <w:vAlign w:val="center"/>
          </w:tcPr>
          <w:p w:rsidR="00000000" w:rsidDel="00000000" w:rsidP="00000000" w:rsidRDefault="00000000" w:rsidRPr="00000000" w14:paraId="0000005A">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Strategie aprobată</w:t>
            </w:r>
            <w:r w:rsidDel="00000000" w:rsidR="00000000" w:rsidRPr="00000000">
              <w:rPr>
                <w:rtl w:val="0"/>
              </w:rPr>
            </w:r>
          </w:p>
        </w:tc>
        <w:tc>
          <w:tcPr>
            <w:vAlign w:val="center"/>
          </w:tcPr>
          <w:p w:rsidR="00000000" w:rsidDel="00000000" w:rsidP="00000000" w:rsidRDefault="00000000" w:rsidRPr="00000000" w14:paraId="0000005B">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Trimestrul II 2022</w:t>
            </w:r>
            <w:r w:rsidDel="00000000" w:rsidR="00000000" w:rsidRPr="00000000">
              <w:rPr>
                <w:rtl w:val="0"/>
              </w:rPr>
            </w:r>
          </w:p>
        </w:tc>
      </w:tr>
      <w:tr>
        <w:tc>
          <w:tcPr>
            <w:vAlign w:val="center"/>
          </w:tcPr>
          <w:p w:rsidR="00000000" w:rsidDel="00000000" w:rsidP="00000000" w:rsidRDefault="00000000" w:rsidRPr="00000000" w14:paraId="0000005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Aprobarea de către Guvern a planului de acțiuni pentru implementarea Strategiei, cu indicarea instituțiilor responsabile și mecanismelor de colaborare pentru implementarea planului de către toate instituțiile cu rol reglementat in legislația actuală</w:t>
            </w:r>
          </w:p>
        </w:tc>
        <w:tc>
          <w:tcPr>
            <w:vAlign w:val="center"/>
          </w:tcPr>
          <w:p w:rsidR="00000000" w:rsidDel="00000000" w:rsidP="00000000" w:rsidRDefault="00000000" w:rsidRPr="00000000" w14:paraId="0000005D">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Plan de acțiuni adoptat</w:t>
            </w:r>
            <w:r w:rsidDel="00000000" w:rsidR="00000000" w:rsidRPr="00000000">
              <w:rPr>
                <w:rtl w:val="0"/>
              </w:rPr>
            </w:r>
          </w:p>
        </w:tc>
        <w:tc>
          <w:tcPr>
            <w:vAlign w:val="center"/>
          </w:tcPr>
          <w:p w:rsidR="00000000" w:rsidDel="00000000" w:rsidP="00000000" w:rsidRDefault="00000000" w:rsidRPr="00000000" w14:paraId="0000005E">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Trimestrul IV 2022</w:t>
            </w:r>
            <w:r w:rsidDel="00000000" w:rsidR="00000000" w:rsidRPr="00000000">
              <w:rPr>
                <w:rtl w:val="0"/>
              </w:rPr>
            </w:r>
          </w:p>
        </w:tc>
      </w:tr>
      <w:tr>
        <w:trPr>
          <w:trHeight w:val="1025" w:hRule="atLeast"/>
        </w:trPr>
        <w:tc>
          <w:tcPr>
            <w:vAlign w:val="center"/>
          </w:tcPr>
          <w:p w:rsidR="00000000" w:rsidDel="00000000" w:rsidP="00000000" w:rsidRDefault="00000000" w:rsidRPr="00000000" w14:paraId="0000005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Intrarea în vigoare a legislației privind sistemul inteligent de trafic (ITS), care va include măsuri de implementare a ITS în infrastructura rutieră națională și locală, astfel îmbunătățind eficiența traficului rutier, reducând accidentele, reducând timpul de călătorie, reducând poluarea;</w:t>
            </w:r>
          </w:p>
        </w:tc>
        <w:tc>
          <w:tcPr>
            <w:vAlign w:val="center"/>
          </w:tcPr>
          <w:p w:rsidR="00000000" w:rsidDel="00000000" w:rsidP="00000000" w:rsidRDefault="00000000" w:rsidRPr="00000000" w14:paraId="0000006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Pachet legislativ adoptat</w:t>
            </w:r>
          </w:p>
        </w:tc>
        <w:tc>
          <w:tcPr>
            <w:vAlign w:val="center"/>
          </w:tcPr>
          <w:p w:rsidR="00000000" w:rsidDel="00000000" w:rsidP="00000000" w:rsidRDefault="00000000" w:rsidRPr="00000000" w14:paraId="0000006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Trimestrul IV 2023</w:t>
            </w:r>
          </w:p>
        </w:tc>
      </w:tr>
      <w:tr>
        <w:tc>
          <w:tcPr>
            <w:vAlign w:val="center"/>
          </w:tcPr>
          <w:p w:rsidR="00000000" w:rsidDel="00000000" w:rsidP="00000000" w:rsidRDefault="00000000" w:rsidRPr="00000000" w14:paraId="0000006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Elaborarea și aprobarea de instrucțiuni pentru implementarea standardelor ITS în lucrările de construcții de infrastructură</w:t>
            </w:r>
          </w:p>
        </w:tc>
        <w:tc>
          <w:tcPr>
            <w:vAlign w:val="center"/>
          </w:tcPr>
          <w:p w:rsidR="00000000" w:rsidDel="00000000" w:rsidP="00000000" w:rsidRDefault="00000000" w:rsidRPr="00000000" w14:paraId="00000063">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Instrucțiuni adoptate</w:t>
            </w:r>
          </w:p>
        </w:tc>
        <w:tc>
          <w:tcPr>
            <w:vAlign w:val="center"/>
          </w:tcPr>
          <w:p w:rsidR="00000000" w:rsidDel="00000000" w:rsidP="00000000" w:rsidRDefault="00000000" w:rsidRPr="00000000" w14:paraId="00000064">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Trimestrul III 2025</w:t>
            </w:r>
            <w:r w:rsidDel="00000000" w:rsidR="00000000" w:rsidRPr="00000000">
              <w:rPr>
                <w:rtl w:val="0"/>
              </w:rPr>
            </w:r>
          </w:p>
        </w:tc>
      </w:tr>
    </w:tbl>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R2 – „Viziune și management performant pentru transport de calitate” -  Îmbunătățirea capacității instituționale de management și guvernanță corporativă; </w:t>
      </w:r>
    </w:p>
    <w:tbl>
      <w:tblPr>
        <w:tblStyle w:val="Table2"/>
        <w:tblW w:w="141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15"/>
        <w:gridCol w:w="2520"/>
        <w:gridCol w:w="1920"/>
        <w:tblGridChange w:id="0">
          <w:tblGrid>
            <w:gridCol w:w="9715"/>
            <w:gridCol w:w="2520"/>
            <w:gridCol w:w="1920"/>
          </w:tblGrid>
        </w:tblGridChange>
      </w:tblGrid>
      <w:tr>
        <w:tc>
          <w:tcPr/>
          <w:p w:rsidR="00000000" w:rsidDel="00000000" w:rsidP="00000000" w:rsidRDefault="00000000" w:rsidRPr="00000000" w14:paraId="0000006A">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Etapă</w:t>
            </w:r>
          </w:p>
        </w:tc>
        <w:tc>
          <w:tcPr/>
          <w:p w:rsidR="00000000" w:rsidDel="00000000" w:rsidP="00000000" w:rsidRDefault="00000000" w:rsidRPr="00000000" w14:paraId="0000006B">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Livrabil</w:t>
            </w:r>
          </w:p>
        </w:tc>
        <w:tc>
          <w:tcPr/>
          <w:p w:rsidR="00000000" w:rsidDel="00000000" w:rsidP="00000000" w:rsidRDefault="00000000" w:rsidRPr="00000000" w14:paraId="0000006C">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Termen</w:t>
            </w:r>
          </w:p>
        </w:tc>
      </w:tr>
      <w:tr>
        <w:tc>
          <w:tcPr>
            <w:gridSpan w:val="3"/>
            <w:shd w:fill="92d050" w:val="clear"/>
            <w:vAlign w:val="center"/>
          </w:tcPr>
          <w:p w:rsidR="00000000" w:rsidDel="00000000" w:rsidP="00000000" w:rsidRDefault="00000000" w:rsidRPr="00000000" w14:paraId="0000006D">
            <w:pPr>
              <w:numPr>
                <w:ilvl w:val="0"/>
                <w:numId w:val="6"/>
              </w:numPr>
              <w:pBdr>
                <w:top w:space="0" w:sz="0" w:val="nil"/>
                <w:left w:space="0" w:sz="0" w:val="nil"/>
                <w:bottom w:space="0" w:sz="0" w:val="nil"/>
                <w:right w:space="0" w:sz="0" w:val="nil"/>
                <w:between w:space="0" w:sz="0" w:val="nil"/>
              </w:pBdr>
              <w:spacing w:line="276" w:lineRule="auto"/>
              <w:ind w:left="720" w:hanging="360"/>
              <w:jc w:val="cente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Întărirea funcției de strategie și monitorizare a MTI</w:t>
            </w:r>
            <w:r w:rsidDel="00000000" w:rsidR="00000000" w:rsidRPr="00000000">
              <w:rPr>
                <w:rtl w:val="0"/>
              </w:rPr>
            </w:r>
          </w:p>
        </w:tc>
      </w:tr>
      <w:tr>
        <w:tc>
          <w:tcPr>
            <w:vAlign w:val="center"/>
          </w:tcPr>
          <w:p w:rsidR="00000000" w:rsidDel="00000000" w:rsidP="00000000" w:rsidRDefault="00000000" w:rsidRPr="00000000" w14:paraId="0000007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Analiza și reorganizarea structurii organizatorice a MTI</w:t>
            </w:r>
          </w:p>
          <w:p w:rsidR="00000000" w:rsidDel="00000000" w:rsidP="00000000" w:rsidRDefault="00000000" w:rsidRPr="00000000" w14:paraId="00000071">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72">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Reorganizare aprobată de Guvern</w:t>
            </w:r>
          </w:p>
        </w:tc>
        <w:tc>
          <w:tcPr>
            <w:vAlign w:val="center"/>
          </w:tcPr>
          <w:p w:rsidR="00000000" w:rsidDel="00000000" w:rsidP="00000000" w:rsidRDefault="00000000" w:rsidRPr="00000000" w14:paraId="00000073">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II 2021</w:t>
            </w:r>
          </w:p>
        </w:tc>
      </w:tr>
      <w:tr>
        <w:trPr>
          <w:trHeight w:val="593" w:hRule="atLeast"/>
        </w:trPr>
        <w:tc>
          <w:tcPr>
            <w:vAlign w:val="center"/>
          </w:tcPr>
          <w:p w:rsidR="00000000" w:rsidDel="00000000" w:rsidP="00000000" w:rsidRDefault="00000000" w:rsidRPr="00000000" w14:paraId="0000007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Evaluarea activității ARF privind gradul de îndeplinire a mandatului și decizie privind preluarea mandatului ARF de către minister</w:t>
            </w:r>
          </w:p>
        </w:tc>
        <w:tc>
          <w:tcPr>
            <w:vAlign w:val="center"/>
          </w:tcPr>
          <w:p w:rsidR="00000000" w:rsidDel="00000000" w:rsidP="00000000" w:rsidRDefault="00000000" w:rsidRPr="00000000" w14:paraId="00000075">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Decizie aprobată prin act administrativ/act normativ</w:t>
            </w:r>
          </w:p>
        </w:tc>
        <w:tc>
          <w:tcPr>
            <w:vAlign w:val="center"/>
          </w:tcPr>
          <w:p w:rsidR="00000000" w:rsidDel="00000000" w:rsidP="00000000" w:rsidRDefault="00000000" w:rsidRPr="00000000" w14:paraId="00000076">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III 2021</w:t>
            </w:r>
          </w:p>
        </w:tc>
      </w:tr>
      <w:tr>
        <w:tc>
          <w:tcPr>
            <w:vAlign w:val="center"/>
          </w:tcPr>
          <w:p w:rsidR="00000000" w:rsidDel="00000000" w:rsidP="00000000" w:rsidRDefault="00000000" w:rsidRPr="00000000" w14:paraId="0000007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Pregătire pachet legislativ privind proiectele mari de investiții în infrastructura de transport</w:t>
            </w:r>
          </w:p>
        </w:tc>
        <w:tc>
          <w:tcPr>
            <w:vAlign w:val="center"/>
          </w:tcPr>
          <w:p w:rsidR="00000000" w:rsidDel="00000000" w:rsidP="00000000" w:rsidRDefault="00000000" w:rsidRPr="00000000" w14:paraId="00000078">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Pachet legislativ aprobat</w:t>
            </w:r>
          </w:p>
        </w:tc>
        <w:tc>
          <w:tcPr>
            <w:vAlign w:val="center"/>
          </w:tcPr>
          <w:p w:rsidR="00000000" w:rsidDel="00000000" w:rsidP="00000000" w:rsidRDefault="00000000" w:rsidRPr="00000000" w14:paraId="00000079">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IV 2024</w:t>
            </w:r>
          </w:p>
        </w:tc>
      </w:tr>
      <w:tr>
        <w:tc>
          <w:tcPr>
            <w:vAlign w:val="center"/>
          </w:tcPr>
          <w:p w:rsidR="00000000" w:rsidDel="00000000" w:rsidP="00000000" w:rsidRDefault="00000000" w:rsidRPr="00000000" w14:paraId="0000007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Angajarea de specialiști în structurile cu rol de strategie și monitorizare</w:t>
            </w:r>
          </w:p>
        </w:tc>
        <w:tc>
          <w:tcPr>
            <w:vAlign w:val="center"/>
          </w:tcPr>
          <w:p w:rsidR="00000000" w:rsidDel="00000000" w:rsidP="00000000" w:rsidRDefault="00000000" w:rsidRPr="00000000" w14:paraId="0000007B">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Număr personal angajat</w:t>
            </w:r>
          </w:p>
        </w:tc>
        <w:tc>
          <w:tcPr>
            <w:vAlign w:val="center"/>
          </w:tcPr>
          <w:p w:rsidR="00000000" w:rsidDel="00000000" w:rsidP="00000000" w:rsidRDefault="00000000" w:rsidRPr="00000000" w14:paraId="0000007C">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III 2022</w:t>
            </w:r>
          </w:p>
        </w:tc>
      </w:tr>
      <w:tr>
        <w:tc>
          <w:tcPr>
            <w:vAlign w:val="center"/>
          </w:tcPr>
          <w:p w:rsidR="00000000" w:rsidDel="00000000" w:rsidP="00000000" w:rsidRDefault="00000000" w:rsidRPr="00000000" w14:paraId="0000007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Încheierea de protocoale de colaborare cu mediul academic/de business/ asociații profesionale în domeniul transporturilor pentru creșterea capacității MTI de a-și livra mandatul</w:t>
            </w:r>
          </w:p>
        </w:tc>
        <w:tc>
          <w:tcPr>
            <w:vAlign w:val="center"/>
          </w:tcPr>
          <w:p w:rsidR="00000000" w:rsidDel="00000000" w:rsidP="00000000" w:rsidRDefault="00000000" w:rsidRPr="00000000" w14:paraId="0000007E">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Protocoale semnate</w:t>
            </w:r>
          </w:p>
        </w:tc>
        <w:tc>
          <w:tcPr>
            <w:vAlign w:val="center"/>
          </w:tcPr>
          <w:p w:rsidR="00000000" w:rsidDel="00000000" w:rsidP="00000000" w:rsidRDefault="00000000" w:rsidRPr="00000000" w14:paraId="0000007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IV 2022</w:t>
            </w:r>
          </w:p>
        </w:tc>
      </w:tr>
      <w:tr>
        <w:tc>
          <w:tcPr>
            <w:vAlign w:val="center"/>
          </w:tcPr>
          <w:p w:rsidR="00000000" w:rsidDel="00000000" w:rsidP="00000000" w:rsidRDefault="00000000" w:rsidRPr="00000000" w14:paraId="0000008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Organizare cursuri de formare pentru angajații MTI</w:t>
            </w:r>
          </w:p>
        </w:tc>
        <w:tc>
          <w:tcPr>
            <w:vAlign w:val="center"/>
          </w:tcPr>
          <w:p w:rsidR="00000000" w:rsidDel="00000000" w:rsidP="00000000" w:rsidRDefault="00000000" w:rsidRPr="00000000" w14:paraId="00000081">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Număr de angajați formați</w:t>
            </w:r>
          </w:p>
        </w:tc>
        <w:tc>
          <w:tcPr>
            <w:vAlign w:val="center"/>
          </w:tcPr>
          <w:p w:rsidR="00000000" w:rsidDel="00000000" w:rsidP="00000000" w:rsidRDefault="00000000" w:rsidRPr="00000000" w14:paraId="00000082">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II 2026</w:t>
            </w:r>
          </w:p>
        </w:tc>
      </w:tr>
      <w:tr>
        <w:tc>
          <w:tcPr>
            <w:gridSpan w:val="3"/>
            <w:shd w:fill="92d050" w:val="clear"/>
            <w:vAlign w:val="center"/>
          </w:tcPr>
          <w:p w:rsidR="00000000" w:rsidDel="00000000" w:rsidP="00000000" w:rsidRDefault="00000000" w:rsidRPr="00000000" w14:paraId="00000083">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b w:val="1"/>
                <w:i w:val="1"/>
                <w:color w:val="000000"/>
                <w:sz w:val="24"/>
                <w:szCs w:val="24"/>
                <w:rtl w:val="0"/>
              </w:rPr>
              <w:t xml:space="preserve">Operaționalizarea unei noi companii de management de proiect pentru investiții rutiere (C.N.I.R) și reorganizarea C.</w:t>
            </w:r>
            <w:r w:rsidDel="00000000" w:rsidR="00000000" w:rsidRPr="00000000">
              <w:rPr>
                <w:rFonts w:ascii="Times New Roman" w:cs="Times New Roman" w:eastAsia="Times New Roman" w:hAnsi="Times New Roman"/>
                <w:b w:val="1"/>
                <w:i w:val="1"/>
                <w:sz w:val="24"/>
                <w:szCs w:val="24"/>
                <w:rtl w:val="0"/>
              </w:rPr>
              <w:t xml:space="preserve">N.A.I.R</w:t>
            </w:r>
            <w:r w:rsidDel="00000000" w:rsidR="00000000" w:rsidRPr="00000000">
              <w:rPr>
                <w:rFonts w:ascii="Times New Roman" w:cs="Times New Roman" w:eastAsia="Times New Roman" w:hAnsi="Times New Roman"/>
                <w:b w:val="1"/>
                <w:i w:val="1"/>
                <w:color w:val="000000"/>
                <w:sz w:val="24"/>
                <w:szCs w:val="24"/>
                <w:rtl w:val="0"/>
              </w:rPr>
              <w:t xml:space="preserve">.</w:t>
            </w:r>
            <w:r w:rsidDel="00000000" w:rsidR="00000000" w:rsidRPr="00000000">
              <w:rPr>
                <w:rtl w:val="0"/>
              </w:rPr>
            </w:r>
          </w:p>
        </w:tc>
      </w:tr>
      <w:tr>
        <w:tc>
          <w:tcPr>
            <w:vAlign w:val="center"/>
          </w:tcPr>
          <w:p w:rsidR="00000000" w:rsidDel="00000000" w:rsidP="00000000" w:rsidRDefault="00000000" w:rsidRPr="00000000" w14:paraId="0000008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Elaborarea organigramei și a procedurilor de lucru</w:t>
            </w:r>
          </w:p>
        </w:tc>
        <w:tc>
          <w:tcPr>
            <w:vAlign w:val="center"/>
          </w:tcPr>
          <w:p w:rsidR="00000000" w:rsidDel="00000000" w:rsidP="00000000" w:rsidRDefault="00000000" w:rsidRPr="00000000" w14:paraId="00000087">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Organigrama</w:t>
            </w:r>
            <w:r w:rsidDel="00000000" w:rsidR="00000000" w:rsidRPr="00000000">
              <w:rPr>
                <w:rFonts w:ascii="Times New Roman" w:cs="Times New Roman" w:eastAsia="Times New Roman" w:hAnsi="Times New Roman"/>
                <w:color w:val="000000"/>
                <w:sz w:val="24"/>
                <w:szCs w:val="24"/>
                <w:rtl w:val="0"/>
              </w:rPr>
              <w:t xml:space="preserve"> aprobată</w:t>
            </w:r>
          </w:p>
          <w:p w:rsidR="00000000" w:rsidDel="00000000" w:rsidP="00000000" w:rsidRDefault="00000000" w:rsidRPr="00000000" w14:paraId="00000088">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Proceduri de lucru aprobate</w:t>
            </w:r>
          </w:p>
        </w:tc>
        <w:tc>
          <w:tcPr>
            <w:vAlign w:val="center"/>
          </w:tcPr>
          <w:p w:rsidR="00000000" w:rsidDel="00000000" w:rsidP="00000000" w:rsidRDefault="00000000" w:rsidRPr="00000000" w14:paraId="00000089">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IV 2021</w:t>
            </w:r>
          </w:p>
        </w:tc>
      </w:tr>
      <w:tr>
        <w:tc>
          <w:tcPr>
            <w:vAlign w:val="center"/>
          </w:tcPr>
          <w:p w:rsidR="00000000" w:rsidDel="00000000" w:rsidP="00000000" w:rsidRDefault="00000000" w:rsidRPr="00000000" w14:paraId="0000008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Angajarea unei echipe de cel puțin 30 de persoane în prima etapă</w:t>
            </w:r>
          </w:p>
        </w:tc>
        <w:tc>
          <w:tcPr>
            <w:vAlign w:val="center"/>
          </w:tcPr>
          <w:p w:rsidR="00000000" w:rsidDel="00000000" w:rsidP="00000000" w:rsidRDefault="00000000" w:rsidRPr="00000000" w14:paraId="0000008B">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Personal angajați</w:t>
            </w:r>
          </w:p>
        </w:tc>
        <w:tc>
          <w:tcPr>
            <w:vAlign w:val="center"/>
          </w:tcPr>
          <w:p w:rsidR="00000000" w:rsidDel="00000000" w:rsidP="00000000" w:rsidRDefault="00000000" w:rsidRPr="00000000" w14:paraId="0000008C">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III 2022</w:t>
            </w:r>
          </w:p>
        </w:tc>
      </w:tr>
      <w:tr>
        <w:tc>
          <w:tcPr>
            <w:vAlign w:val="center"/>
          </w:tcPr>
          <w:p w:rsidR="00000000" w:rsidDel="00000000" w:rsidP="00000000" w:rsidRDefault="00000000" w:rsidRPr="00000000" w14:paraId="0000008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Preluarea primului proiect mare de investiții de la C.N.A.I.R.</w:t>
            </w:r>
          </w:p>
        </w:tc>
        <w:tc>
          <w:tcPr>
            <w:vAlign w:val="center"/>
          </w:tcPr>
          <w:p w:rsidR="00000000" w:rsidDel="00000000" w:rsidP="00000000" w:rsidRDefault="00000000" w:rsidRPr="00000000" w14:paraId="0000008E">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Protocol semnat</w:t>
            </w:r>
          </w:p>
        </w:tc>
        <w:tc>
          <w:tcPr>
            <w:vAlign w:val="center"/>
          </w:tcPr>
          <w:p w:rsidR="00000000" w:rsidDel="00000000" w:rsidP="00000000" w:rsidRDefault="00000000" w:rsidRPr="00000000" w14:paraId="0000008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w:t>
            </w:r>
            <w:r w:rsidDel="00000000" w:rsidR="00000000" w:rsidRPr="00000000">
              <w:rPr>
                <w:rFonts w:ascii="Times New Roman" w:cs="Times New Roman" w:eastAsia="Times New Roman" w:hAnsi="Times New Roman"/>
                <w:sz w:val="24"/>
                <w:szCs w:val="24"/>
                <w:rtl w:val="0"/>
              </w:rPr>
              <w:t xml:space="preserve">V</w:t>
            </w:r>
            <w:r w:rsidDel="00000000" w:rsidR="00000000" w:rsidRPr="00000000">
              <w:rPr>
                <w:rFonts w:ascii="Times New Roman" w:cs="Times New Roman" w:eastAsia="Times New Roman" w:hAnsi="Times New Roman"/>
                <w:color w:val="000000"/>
                <w:sz w:val="24"/>
                <w:szCs w:val="24"/>
                <w:rtl w:val="0"/>
              </w:rPr>
              <w:t xml:space="preserve"> 2022</w:t>
            </w:r>
          </w:p>
        </w:tc>
      </w:tr>
      <w:tr>
        <w:tc>
          <w:tcPr>
            <w:vAlign w:val="center"/>
          </w:tcPr>
          <w:p w:rsidR="00000000" w:rsidDel="00000000" w:rsidP="00000000" w:rsidRDefault="00000000" w:rsidRPr="00000000" w14:paraId="0000009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Angajarea unei echipe de cel puțin 60 de persoane în a doua etapă</w:t>
            </w:r>
          </w:p>
        </w:tc>
        <w:tc>
          <w:tcPr>
            <w:vAlign w:val="center"/>
          </w:tcPr>
          <w:p w:rsidR="00000000" w:rsidDel="00000000" w:rsidP="00000000" w:rsidRDefault="00000000" w:rsidRPr="00000000" w14:paraId="00000091">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Personal angajați</w:t>
            </w:r>
          </w:p>
        </w:tc>
        <w:tc>
          <w:tcPr>
            <w:vAlign w:val="center"/>
          </w:tcPr>
          <w:p w:rsidR="00000000" w:rsidDel="00000000" w:rsidP="00000000" w:rsidRDefault="00000000" w:rsidRPr="00000000" w14:paraId="00000092">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 2023</w:t>
            </w:r>
          </w:p>
        </w:tc>
      </w:tr>
      <w:tr>
        <w:tc>
          <w:tcPr>
            <w:vAlign w:val="center"/>
          </w:tcPr>
          <w:p w:rsidR="00000000" w:rsidDel="00000000" w:rsidP="00000000" w:rsidRDefault="00000000" w:rsidRPr="00000000" w14:paraId="0000009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Preluarea unui nou pachet de proiecte mari de investiții de la C.N.A.I.R.</w:t>
            </w:r>
          </w:p>
        </w:tc>
        <w:tc>
          <w:tcPr>
            <w:vAlign w:val="center"/>
          </w:tcPr>
          <w:p w:rsidR="00000000" w:rsidDel="00000000" w:rsidP="00000000" w:rsidRDefault="00000000" w:rsidRPr="00000000" w14:paraId="00000094">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Protocol semnat</w:t>
            </w:r>
          </w:p>
        </w:tc>
        <w:tc>
          <w:tcPr>
            <w:vAlign w:val="center"/>
          </w:tcPr>
          <w:p w:rsidR="00000000" w:rsidDel="00000000" w:rsidP="00000000" w:rsidRDefault="00000000" w:rsidRPr="00000000" w14:paraId="00000095">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 2023</w:t>
            </w:r>
          </w:p>
        </w:tc>
      </w:tr>
      <w:tr>
        <w:tc>
          <w:tcPr>
            <w:vAlign w:val="center"/>
          </w:tcPr>
          <w:p w:rsidR="00000000" w:rsidDel="00000000" w:rsidP="00000000" w:rsidRDefault="00000000" w:rsidRPr="00000000" w14:paraId="0000009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Angajarea unei echipe de cel puțin 60 de persoane în a treia etapă</w:t>
            </w:r>
          </w:p>
        </w:tc>
        <w:tc>
          <w:tcPr>
            <w:vAlign w:val="center"/>
          </w:tcPr>
          <w:p w:rsidR="00000000" w:rsidDel="00000000" w:rsidP="00000000" w:rsidRDefault="00000000" w:rsidRPr="00000000" w14:paraId="00000097">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Personal angajați</w:t>
            </w:r>
          </w:p>
        </w:tc>
        <w:tc>
          <w:tcPr>
            <w:vAlign w:val="center"/>
          </w:tcPr>
          <w:p w:rsidR="00000000" w:rsidDel="00000000" w:rsidP="00000000" w:rsidRDefault="00000000" w:rsidRPr="00000000" w14:paraId="00000098">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IV 2023</w:t>
            </w:r>
          </w:p>
        </w:tc>
      </w:tr>
      <w:tr>
        <w:tc>
          <w:tcPr>
            <w:gridSpan w:val="3"/>
            <w:shd w:fill="92d050" w:val="clear"/>
            <w:vAlign w:val="center"/>
          </w:tcPr>
          <w:p w:rsidR="00000000" w:rsidDel="00000000" w:rsidP="00000000" w:rsidRDefault="00000000" w:rsidRPr="00000000" w14:paraId="00000099">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tab/>
            </w:r>
            <w:r w:rsidDel="00000000" w:rsidR="00000000" w:rsidRPr="00000000">
              <w:rPr>
                <w:rFonts w:ascii="Times New Roman" w:cs="Times New Roman" w:eastAsia="Times New Roman" w:hAnsi="Times New Roman"/>
                <w:b w:val="1"/>
                <w:i w:val="1"/>
                <w:color w:val="000000"/>
                <w:sz w:val="24"/>
                <w:szCs w:val="24"/>
                <w:rtl w:val="0"/>
              </w:rPr>
              <w:t xml:space="preserve">Îmbunătățirea managementului performanței conform principiilor de guvernanță corporativă pentru CFR SA, CFR Călători și Metrorex</w:t>
            </w:r>
            <w:r w:rsidDel="00000000" w:rsidR="00000000" w:rsidRPr="00000000">
              <w:rPr>
                <w:rtl w:val="0"/>
              </w:rPr>
            </w:r>
          </w:p>
        </w:tc>
      </w:tr>
      <w:tr>
        <w:tc>
          <w:tcPr>
            <w:vAlign w:val="center"/>
          </w:tcPr>
          <w:p w:rsidR="00000000" w:rsidDel="00000000" w:rsidP="00000000" w:rsidRDefault="00000000" w:rsidRPr="00000000" w14:paraId="0000009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Definire indicatori de performanță și sistem de monitorizare</w:t>
            </w:r>
          </w:p>
        </w:tc>
        <w:tc>
          <w:tcPr>
            <w:vAlign w:val="center"/>
          </w:tcPr>
          <w:p w:rsidR="00000000" w:rsidDel="00000000" w:rsidP="00000000" w:rsidRDefault="00000000" w:rsidRPr="00000000" w14:paraId="0000009D">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Forma de contract aprobat</w:t>
            </w:r>
          </w:p>
        </w:tc>
        <w:tc>
          <w:tcPr>
            <w:vAlign w:val="center"/>
          </w:tcPr>
          <w:p w:rsidR="00000000" w:rsidDel="00000000" w:rsidP="00000000" w:rsidRDefault="00000000" w:rsidRPr="00000000" w14:paraId="0000009E">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IV 202</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r>
      <w:tr>
        <w:tc>
          <w:tcPr>
            <w:vAlign w:val="center"/>
          </w:tcPr>
          <w:p w:rsidR="00000000" w:rsidDel="00000000" w:rsidP="00000000" w:rsidRDefault="00000000" w:rsidRPr="00000000" w14:paraId="0000009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Implementarea contractelor de servicii publice cu respectarea dispozițiilor Regulamentului 1370/2007</w:t>
            </w:r>
          </w:p>
        </w:tc>
        <w:tc>
          <w:tcPr>
            <w:vAlign w:val="center"/>
          </w:tcPr>
          <w:p w:rsidR="00000000" w:rsidDel="00000000" w:rsidP="00000000" w:rsidRDefault="00000000" w:rsidRPr="00000000" w14:paraId="000000A0">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CSP aprobat</w:t>
            </w:r>
          </w:p>
        </w:tc>
        <w:tc>
          <w:tcPr>
            <w:vAlign w:val="center"/>
          </w:tcPr>
          <w:p w:rsidR="00000000" w:rsidDel="00000000" w:rsidP="00000000" w:rsidRDefault="00000000" w:rsidRPr="00000000" w14:paraId="000000A1">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IV 202</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r>
    </w:tbl>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I1 - Dezvoltarea infrastructurii rutiere aferente rețelei TEN-T centrale, a unor proiecte care asigură conectivitatea centrelor urbane mari la rețeaua TEN-T, precum și a infrastructurii necesare implementării noilor măsuri de impozitare și control, a sistemelor de management al traficului rutier și asigurarea siguranței rutiere;</w:t>
      </w:r>
    </w:p>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tl w:val="0"/>
        </w:rPr>
      </w:r>
    </w:p>
    <w:tbl>
      <w:tblPr>
        <w:tblStyle w:val="Table3"/>
        <w:tblW w:w="141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15"/>
        <w:gridCol w:w="2520"/>
        <w:gridCol w:w="1920"/>
        <w:tblGridChange w:id="0">
          <w:tblGrid>
            <w:gridCol w:w="9715"/>
            <w:gridCol w:w="2520"/>
            <w:gridCol w:w="1920"/>
          </w:tblGrid>
        </w:tblGridChange>
      </w:tblGrid>
      <w:tr>
        <w:tc>
          <w:tcPr>
            <w:vAlign w:val="center"/>
          </w:tcPr>
          <w:p w:rsidR="00000000" w:rsidDel="00000000" w:rsidP="00000000" w:rsidRDefault="00000000" w:rsidRPr="00000000" w14:paraId="000000A9">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Etapă</w:t>
            </w:r>
          </w:p>
        </w:tc>
        <w:tc>
          <w:tcPr>
            <w:vAlign w:val="center"/>
          </w:tcPr>
          <w:p w:rsidR="00000000" w:rsidDel="00000000" w:rsidP="00000000" w:rsidRDefault="00000000" w:rsidRPr="00000000" w14:paraId="000000AA">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Livrabil</w:t>
            </w:r>
          </w:p>
        </w:tc>
        <w:tc>
          <w:tcPr>
            <w:vAlign w:val="center"/>
          </w:tcPr>
          <w:p w:rsidR="00000000" w:rsidDel="00000000" w:rsidP="00000000" w:rsidRDefault="00000000" w:rsidRPr="00000000" w14:paraId="000000AB">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Termen</w:t>
            </w:r>
          </w:p>
        </w:tc>
      </w:tr>
      <w:tr>
        <w:tc>
          <w:tcPr>
            <w:gridSpan w:val="3"/>
            <w:shd w:fill="92d050" w:val="clear"/>
            <w:vAlign w:val="center"/>
          </w:tcPr>
          <w:p w:rsidR="00000000" w:rsidDel="00000000" w:rsidP="00000000" w:rsidRDefault="00000000" w:rsidRPr="00000000" w14:paraId="000000AC">
            <w:pPr>
              <w:numPr>
                <w:ilvl w:val="0"/>
                <w:numId w:val="1"/>
              </w:numPr>
              <w:pBdr>
                <w:top w:space="0" w:sz="0" w:val="nil"/>
                <w:left w:space="0" w:sz="0" w:val="nil"/>
                <w:bottom w:space="0" w:sz="0" w:val="nil"/>
                <w:right w:space="0" w:sz="0" w:val="nil"/>
                <w:between w:space="0" w:sz="0" w:val="nil"/>
              </w:pBdr>
              <w:spacing w:line="276" w:lineRule="auto"/>
              <w:ind w:left="720" w:hanging="360"/>
              <w:jc w:val="cente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Achiziții publice</w:t>
            </w:r>
            <w:r w:rsidDel="00000000" w:rsidR="00000000" w:rsidRPr="00000000">
              <w:rPr>
                <w:rtl w:val="0"/>
              </w:rPr>
            </w:r>
          </w:p>
        </w:tc>
      </w:tr>
      <w:tr>
        <w:tc>
          <w:tcPr>
            <w:vAlign w:val="center"/>
          </w:tcPr>
          <w:p w:rsidR="00000000" w:rsidDel="00000000" w:rsidP="00000000" w:rsidRDefault="00000000" w:rsidRPr="00000000" w14:paraId="000000A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Lansarea achizițiilor publice. Specificațiile tehnice ale ofertei trebuie să includă rezultatele și condițiile specificate în  EIA și să respecte principiul DNSH</w:t>
            </w:r>
            <w:r w:rsidDel="00000000" w:rsidR="00000000" w:rsidRPr="00000000">
              <w:rPr>
                <w:rtl w:val="0"/>
              </w:rPr>
            </w:r>
          </w:p>
        </w:tc>
        <w:tc>
          <w:tcPr>
            <w:vAlign w:val="center"/>
          </w:tcPr>
          <w:p w:rsidR="00000000" w:rsidDel="00000000" w:rsidP="00000000" w:rsidRDefault="00000000" w:rsidRPr="00000000" w14:paraId="000000B0">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Anunț publicat în SICAP</w:t>
            </w:r>
          </w:p>
        </w:tc>
        <w:tc>
          <w:tcPr>
            <w:vAlign w:val="center"/>
          </w:tcPr>
          <w:p w:rsidR="00000000" w:rsidDel="00000000" w:rsidP="00000000" w:rsidRDefault="00000000" w:rsidRPr="00000000" w14:paraId="000000B1">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II 2022</w:t>
            </w:r>
          </w:p>
        </w:tc>
      </w:tr>
      <w:tr>
        <w:tc>
          <w:tcPr>
            <w:gridSpan w:val="3"/>
            <w:shd w:fill="92d050" w:val="clear"/>
            <w:vAlign w:val="center"/>
          </w:tcPr>
          <w:p w:rsidR="00000000" w:rsidDel="00000000" w:rsidP="00000000" w:rsidRDefault="00000000" w:rsidRPr="00000000" w14:paraId="000000B2">
            <w:pPr>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b w:val="1"/>
                <w:i w:val="1"/>
                <w:color w:val="000000"/>
                <w:sz w:val="24"/>
                <w:szCs w:val="24"/>
                <w:rtl w:val="0"/>
              </w:rPr>
              <w:t xml:space="preserve">Realizare investiție</w:t>
            </w:r>
            <w:r w:rsidDel="00000000" w:rsidR="00000000" w:rsidRPr="00000000">
              <w:rPr>
                <w:rtl w:val="0"/>
              </w:rPr>
            </w:r>
          </w:p>
        </w:tc>
      </w:tr>
      <w:tr>
        <w:tc>
          <w:tcPr>
            <w:vAlign w:val="center"/>
          </w:tcPr>
          <w:p w:rsidR="00000000" w:rsidDel="00000000" w:rsidP="00000000" w:rsidRDefault="00000000" w:rsidRPr="00000000" w14:paraId="000000B5">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Numărul de km de drumuri noi, realizați (la standardele TEN-T) cu puncte de încărcare pentru  combustibili alternativi, ITS, perdele forestiere, zone de parcare securizate: progres fizic de cel puțin 75% față de obiectivul T3 </w:t>
            </w:r>
          </w:p>
        </w:tc>
        <w:tc>
          <w:tcPr>
            <w:vAlign w:val="center"/>
          </w:tcPr>
          <w:p w:rsidR="00000000" w:rsidDel="00000000" w:rsidP="00000000" w:rsidRDefault="00000000" w:rsidRPr="00000000" w14:paraId="000000B6">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Raport de progres tehnic</w:t>
            </w:r>
          </w:p>
        </w:tc>
        <w:tc>
          <w:tcPr>
            <w:vAlign w:val="center"/>
          </w:tcPr>
          <w:p w:rsidR="00000000" w:rsidDel="00000000" w:rsidP="00000000" w:rsidRDefault="00000000" w:rsidRPr="00000000" w14:paraId="000000B7">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w:t>
            </w:r>
            <w:r w:rsidDel="00000000" w:rsidR="00000000" w:rsidRPr="00000000">
              <w:rPr>
                <w:rFonts w:ascii="Times New Roman" w:cs="Times New Roman" w:eastAsia="Times New Roman" w:hAnsi="Times New Roman"/>
                <w:sz w:val="24"/>
                <w:szCs w:val="24"/>
                <w:rtl w:val="0"/>
              </w:rPr>
              <w:t xml:space="preserve">V</w:t>
            </w:r>
            <w:r w:rsidDel="00000000" w:rsidR="00000000" w:rsidRPr="00000000">
              <w:rPr>
                <w:rFonts w:ascii="Times New Roman" w:cs="Times New Roman" w:eastAsia="Times New Roman" w:hAnsi="Times New Roman"/>
                <w:color w:val="000000"/>
                <w:sz w:val="24"/>
                <w:szCs w:val="24"/>
                <w:rtl w:val="0"/>
              </w:rPr>
              <w:t xml:space="preserve"> 2025</w:t>
            </w:r>
          </w:p>
        </w:tc>
      </w:tr>
    </w:tbl>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I2 – Modernizarea liniilor de cale ferată inclusiv implementarea Sistemului European de Management al Traficului Feroviar (ERTMS), nivel 2, centralizarea stațiilor; reînnoirea și electrificarea liniilor de cale ferată pentru secțiunile selectate (reprezentând faza 1 din procesul de modernizare);</w:t>
      </w:r>
    </w:p>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tl w:val="0"/>
        </w:rPr>
      </w:r>
    </w:p>
    <w:tbl>
      <w:tblPr>
        <w:tblStyle w:val="Table4"/>
        <w:tblW w:w="141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15"/>
        <w:gridCol w:w="2520"/>
        <w:gridCol w:w="1920"/>
        <w:tblGridChange w:id="0">
          <w:tblGrid>
            <w:gridCol w:w="9715"/>
            <w:gridCol w:w="2520"/>
            <w:gridCol w:w="1920"/>
          </w:tblGrid>
        </w:tblGridChange>
      </w:tblGrid>
      <w:tr>
        <w:tc>
          <w:tcPr>
            <w:vAlign w:val="center"/>
          </w:tcPr>
          <w:p w:rsidR="00000000" w:rsidDel="00000000" w:rsidP="00000000" w:rsidRDefault="00000000" w:rsidRPr="00000000" w14:paraId="000000C3">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Etapă</w:t>
            </w:r>
          </w:p>
        </w:tc>
        <w:tc>
          <w:tcPr>
            <w:vAlign w:val="center"/>
          </w:tcPr>
          <w:p w:rsidR="00000000" w:rsidDel="00000000" w:rsidP="00000000" w:rsidRDefault="00000000" w:rsidRPr="00000000" w14:paraId="000000C4">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Livrabil</w:t>
            </w:r>
          </w:p>
        </w:tc>
        <w:tc>
          <w:tcPr>
            <w:vAlign w:val="center"/>
          </w:tcPr>
          <w:p w:rsidR="00000000" w:rsidDel="00000000" w:rsidP="00000000" w:rsidRDefault="00000000" w:rsidRPr="00000000" w14:paraId="000000C5">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Termen</w:t>
            </w:r>
          </w:p>
        </w:tc>
      </w:tr>
      <w:tr>
        <w:tc>
          <w:tcPr>
            <w:gridSpan w:val="3"/>
            <w:shd w:fill="92d050" w:val="clear"/>
            <w:vAlign w:val="center"/>
          </w:tcPr>
          <w:p w:rsidR="00000000" w:rsidDel="00000000" w:rsidP="00000000" w:rsidRDefault="00000000" w:rsidRPr="00000000" w14:paraId="000000C6">
            <w:pPr>
              <w:numPr>
                <w:ilvl w:val="0"/>
                <w:numId w:val="2"/>
              </w:numPr>
              <w:pBdr>
                <w:top w:space="0" w:sz="0" w:val="nil"/>
                <w:left w:space="0" w:sz="0" w:val="nil"/>
                <w:bottom w:space="0" w:sz="0" w:val="nil"/>
                <w:right w:space="0" w:sz="0" w:val="nil"/>
                <w:between w:space="0" w:sz="0" w:val="nil"/>
              </w:pBdr>
              <w:spacing w:line="276" w:lineRule="auto"/>
              <w:ind w:left="720" w:hanging="360"/>
              <w:jc w:val="cente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Achiziții publice</w:t>
            </w:r>
            <w:r w:rsidDel="00000000" w:rsidR="00000000" w:rsidRPr="00000000">
              <w:rPr>
                <w:rtl w:val="0"/>
              </w:rPr>
            </w:r>
          </w:p>
        </w:tc>
      </w:tr>
      <w:tr>
        <w:tc>
          <w:tcPr>
            <w:vAlign w:val="center"/>
          </w:tcPr>
          <w:p w:rsidR="00000000" w:rsidDel="00000000" w:rsidP="00000000" w:rsidRDefault="00000000" w:rsidRPr="00000000" w14:paraId="000000C9">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Lansarea achizițiilor publice. Specificațiile tehnice ale ofertei trebuie să includă rezultatele și condițiile specificate în  EIA și să respecte principiul DNSH</w:t>
            </w:r>
            <w:r w:rsidDel="00000000" w:rsidR="00000000" w:rsidRPr="00000000">
              <w:rPr>
                <w:rtl w:val="0"/>
              </w:rPr>
            </w:r>
          </w:p>
        </w:tc>
        <w:tc>
          <w:tcPr>
            <w:vAlign w:val="center"/>
          </w:tcPr>
          <w:p w:rsidR="00000000" w:rsidDel="00000000" w:rsidP="00000000" w:rsidRDefault="00000000" w:rsidRPr="00000000" w14:paraId="000000CA">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Anunț publicat în SICAP</w:t>
            </w:r>
          </w:p>
        </w:tc>
        <w:tc>
          <w:tcPr>
            <w:vAlign w:val="center"/>
          </w:tcPr>
          <w:p w:rsidR="00000000" w:rsidDel="00000000" w:rsidP="00000000" w:rsidRDefault="00000000" w:rsidRPr="00000000" w14:paraId="000000CB">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II 2022</w:t>
            </w:r>
          </w:p>
        </w:tc>
      </w:tr>
      <w:tr>
        <w:tc>
          <w:tcPr>
            <w:gridSpan w:val="3"/>
            <w:shd w:fill="92d050" w:val="clear"/>
            <w:vAlign w:val="center"/>
          </w:tcPr>
          <w:p w:rsidR="00000000" w:rsidDel="00000000" w:rsidP="00000000" w:rsidRDefault="00000000" w:rsidRPr="00000000" w14:paraId="000000CC">
            <w:pPr>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b w:val="1"/>
                <w:i w:val="1"/>
                <w:color w:val="000000"/>
                <w:sz w:val="24"/>
                <w:szCs w:val="24"/>
                <w:rtl w:val="0"/>
              </w:rPr>
              <w:t xml:space="preserve">Realizare investiție</w:t>
            </w:r>
            <w:r w:rsidDel="00000000" w:rsidR="00000000" w:rsidRPr="00000000">
              <w:rPr>
                <w:rtl w:val="0"/>
              </w:rPr>
            </w:r>
          </w:p>
        </w:tc>
      </w:tr>
      <w:tr>
        <w:tc>
          <w:tcPr>
            <w:vAlign w:val="center"/>
          </w:tcPr>
          <w:p w:rsidR="00000000" w:rsidDel="00000000" w:rsidP="00000000" w:rsidRDefault="00000000" w:rsidRPr="00000000" w14:paraId="000000CF">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Progres fizic 75% din totalul lungimilor de cale ferată propuse pentru modernizare</w:t>
            </w:r>
          </w:p>
        </w:tc>
        <w:tc>
          <w:tcPr>
            <w:vAlign w:val="center"/>
          </w:tcPr>
          <w:p w:rsidR="00000000" w:rsidDel="00000000" w:rsidP="00000000" w:rsidRDefault="00000000" w:rsidRPr="00000000" w14:paraId="000000D0">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Raport de progres tehnic</w:t>
            </w:r>
          </w:p>
        </w:tc>
        <w:tc>
          <w:tcPr>
            <w:vAlign w:val="center"/>
          </w:tcPr>
          <w:p w:rsidR="00000000" w:rsidDel="00000000" w:rsidP="00000000" w:rsidRDefault="00000000" w:rsidRPr="00000000" w14:paraId="000000D1">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w:t>
            </w:r>
            <w:r w:rsidDel="00000000" w:rsidR="00000000" w:rsidRPr="00000000">
              <w:rPr>
                <w:rFonts w:ascii="Times New Roman" w:cs="Times New Roman" w:eastAsia="Times New Roman" w:hAnsi="Times New Roman"/>
                <w:sz w:val="24"/>
                <w:szCs w:val="24"/>
                <w:rtl w:val="0"/>
              </w:rPr>
              <w:t xml:space="preserve">V</w:t>
            </w:r>
            <w:r w:rsidDel="00000000" w:rsidR="00000000" w:rsidRPr="00000000">
              <w:rPr>
                <w:rFonts w:ascii="Times New Roman" w:cs="Times New Roman" w:eastAsia="Times New Roman" w:hAnsi="Times New Roman"/>
                <w:color w:val="000000"/>
                <w:sz w:val="24"/>
                <w:szCs w:val="24"/>
                <w:rtl w:val="0"/>
              </w:rPr>
              <w:t xml:space="preserve"> 2025</w:t>
            </w:r>
          </w:p>
        </w:tc>
      </w:tr>
    </w:tbl>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I3: Achiziționare de material rulant sustenabil și modernizarea materialului rulant existent;  </w:t>
      </w:r>
    </w:p>
    <w:p w:rsidR="00000000" w:rsidDel="00000000" w:rsidP="00000000" w:rsidRDefault="00000000" w:rsidRPr="00000000" w14:paraId="000000D4">
      <w:pPr>
        <w:rPr>
          <w:rFonts w:ascii="Times New Roman" w:cs="Times New Roman" w:eastAsia="Times New Roman" w:hAnsi="Times New Roman"/>
          <w:sz w:val="24"/>
          <w:szCs w:val="24"/>
        </w:rPr>
      </w:pPr>
      <w:r w:rsidDel="00000000" w:rsidR="00000000" w:rsidRPr="00000000">
        <w:rPr>
          <w:rtl w:val="0"/>
        </w:rPr>
      </w:r>
    </w:p>
    <w:tbl>
      <w:tblPr>
        <w:tblStyle w:val="Table5"/>
        <w:tblW w:w="141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15"/>
        <w:gridCol w:w="2520"/>
        <w:gridCol w:w="1920"/>
        <w:tblGridChange w:id="0">
          <w:tblGrid>
            <w:gridCol w:w="9715"/>
            <w:gridCol w:w="2520"/>
            <w:gridCol w:w="1920"/>
          </w:tblGrid>
        </w:tblGridChange>
      </w:tblGrid>
      <w:tr>
        <w:tc>
          <w:tcPr>
            <w:vAlign w:val="center"/>
          </w:tcPr>
          <w:p w:rsidR="00000000" w:rsidDel="00000000" w:rsidP="00000000" w:rsidRDefault="00000000" w:rsidRPr="00000000" w14:paraId="000000D5">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Etapă</w:t>
            </w:r>
          </w:p>
        </w:tc>
        <w:tc>
          <w:tcPr>
            <w:vAlign w:val="center"/>
          </w:tcPr>
          <w:p w:rsidR="00000000" w:rsidDel="00000000" w:rsidP="00000000" w:rsidRDefault="00000000" w:rsidRPr="00000000" w14:paraId="000000D6">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Livrabil</w:t>
            </w:r>
          </w:p>
        </w:tc>
        <w:tc>
          <w:tcPr>
            <w:vAlign w:val="center"/>
          </w:tcPr>
          <w:p w:rsidR="00000000" w:rsidDel="00000000" w:rsidP="00000000" w:rsidRDefault="00000000" w:rsidRPr="00000000" w14:paraId="000000D7">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Termen</w:t>
            </w:r>
          </w:p>
        </w:tc>
      </w:tr>
      <w:tr>
        <w:tc>
          <w:tcPr>
            <w:gridSpan w:val="3"/>
            <w:shd w:fill="92d050" w:val="clear"/>
            <w:vAlign w:val="center"/>
          </w:tcPr>
          <w:p w:rsidR="00000000" w:rsidDel="00000000" w:rsidP="00000000" w:rsidRDefault="00000000" w:rsidRPr="00000000" w14:paraId="000000D8">
            <w:pPr>
              <w:numPr>
                <w:ilvl w:val="0"/>
                <w:numId w:val="3"/>
              </w:numPr>
              <w:pBdr>
                <w:top w:space="0" w:sz="0" w:val="nil"/>
                <w:left w:space="0" w:sz="0" w:val="nil"/>
                <w:bottom w:space="0" w:sz="0" w:val="nil"/>
                <w:right w:space="0" w:sz="0" w:val="nil"/>
                <w:between w:space="0" w:sz="0" w:val="nil"/>
              </w:pBdr>
              <w:spacing w:line="276" w:lineRule="auto"/>
              <w:ind w:left="720" w:hanging="360"/>
              <w:jc w:val="cente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Achiziții publice</w:t>
            </w:r>
            <w:r w:rsidDel="00000000" w:rsidR="00000000" w:rsidRPr="00000000">
              <w:rPr>
                <w:rtl w:val="0"/>
              </w:rPr>
            </w:r>
          </w:p>
        </w:tc>
      </w:tr>
      <w:tr>
        <w:tc>
          <w:tcPr>
            <w:vAlign w:val="center"/>
          </w:tcPr>
          <w:p w:rsidR="00000000" w:rsidDel="00000000" w:rsidP="00000000" w:rsidRDefault="00000000" w:rsidRPr="00000000" w14:paraId="000000DB">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Lansarea achizițiilor publice. Specificațiile tehnice ale ofertei trebuie să includă rezultatele și condițiile specificate în  EIA și să respecte principiul DNSH</w:t>
            </w:r>
            <w:r w:rsidDel="00000000" w:rsidR="00000000" w:rsidRPr="00000000">
              <w:rPr>
                <w:rtl w:val="0"/>
              </w:rPr>
            </w:r>
          </w:p>
        </w:tc>
        <w:tc>
          <w:tcPr>
            <w:vAlign w:val="center"/>
          </w:tcPr>
          <w:p w:rsidR="00000000" w:rsidDel="00000000" w:rsidP="00000000" w:rsidRDefault="00000000" w:rsidRPr="00000000" w14:paraId="000000DC">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Anunț publicat în SICAP</w:t>
            </w:r>
          </w:p>
        </w:tc>
        <w:tc>
          <w:tcPr>
            <w:vAlign w:val="center"/>
          </w:tcPr>
          <w:p w:rsidR="00000000" w:rsidDel="00000000" w:rsidP="00000000" w:rsidRDefault="00000000" w:rsidRPr="00000000" w14:paraId="000000DD">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II 2022</w:t>
            </w:r>
          </w:p>
        </w:tc>
      </w:tr>
    </w:tbl>
    <w:p w:rsidR="00000000" w:rsidDel="00000000" w:rsidP="00000000" w:rsidRDefault="00000000" w:rsidRPr="00000000" w14:paraId="000000D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I4: Dezvoltarea rețelei de transport cu metroul în Municipiile București și Cluj-Napoca;</w:t>
      </w:r>
    </w:p>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tl w:val="0"/>
        </w:rPr>
      </w:r>
    </w:p>
    <w:tbl>
      <w:tblPr>
        <w:tblStyle w:val="Table6"/>
        <w:tblW w:w="141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15"/>
        <w:gridCol w:w="2520"/>
        <w:gridCol w:w="1920"/>
        <w:tblGridChange w:id="0">
          <w:tblGrid>
            <w:gridCol w:w="9715"/>
            <w:gridCol w:w="2520"/>
            <w:gridCol w:w="1920"/>
          </w:tblGrid>
        </w:tblGridChange>
      </w:tblGrid>
      <w:tr>
        <w:tc>
          <w:tcPr>
            <w:vAlign w:val="center"/>
          </w:tcPr>
          <w:p w:rsidR="00000000" w:rsidDel="00000000" w:rsidP="00000000" w:rsidRDefault="00000000" w:rsidRPr="00000000" w14:paraId="000000E3">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Etapă</w:t>
            </w:r>
          </w:p>
        </w:tc>
        <w:tc>
          <w:tcPr>
            <w:vAlign w:val="center"/>
          </w:tcPr>
          <w:p w:rsidR="00000000" w:rsidDel="00000000" w:rsidP="00000000" w:rsidRDefault="00000000" w:rsidRPr="00000000" w14:paraId="000000E4">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Livrabil</w:t>
            </w:r>
          </w:p>
        </w:tc>
        <w:tc>
          <w:tcPr>
            <w:vAlign w:val="center"/>
          </w:tcPr>
          <w:p w:rsidR="00000000" w:rsidDel="00000000" w:rsidP="00000000" w:rsidRDefault="00000000" w:rsidRPr="00000000" w14:paraId="000000E5">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Termen</w:t>
            </w:r>
          </w:p>
        </w:tc>
      </w:tr>
      <w:tr>
        <w:tc>
          <w:tcPr>
            <w:gridSpan w:val="3"/>
            <w:shd w:fill="92d050" w:val="clear"/>
            <w:vAlign w:val="center"/>
          </w:tcPr>
          <w:p w:rsidR="00000000" w:rsidDel="00000000" w:rsidP="00000000" w:rsidRDefault="00000000" w:rsidRPr="00000000" w14:paraId="000000E6">
            <w:pPr>
              <w:numPr>
                <w:ilvl w:val="0"/>
                <w:numId w:val="4"/>
              </w:numPr>
              <w:pBdr>
                <w:top w:space="0" w:sz="0" w:val="nil"/>
                <w:left w:space="0" w:sz="0" w:val="nil"/>
                <w:bottom w:space="0" w:sz="0" w:val="nil"/>
                <w:right w:space="0" w:sz="0" w:val="nil"/>
                <w:between w:space="0" w:sz="0" w:val="nil"/>
              </w:pBdr>
              <w:spacing w:line="276" w:lineRule="auto"/>
              <w:ind w:left="720" w:hanging="360"/>
              <w:jc w:val="cente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Achiziții publice</w:t>
            </w:r>
            <w:r w:rsidDel="00000000" w:rsidR="00000000" w:rsidRPr="00000000">
              <w:rPr>
                <w:rtl w:val="0"/>
              </w:rPr>
            </w:r>
          </w:p>
        </w:tc>
      </w:tr>
      <w:tr>
        <w:tc>
          <w:tcPr>
            <w:vAlign w:val="center"/>
          </w:tcPr>
          <w:p w:rsidR="00000000" w:rsidDel="00000000" w:rsidP="00000000" w:rsidRDefault="00000000" w:rsidRPr="00000000" w14:paraId="000000E9">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Lansarea achizițiilor publice. Specificațiile tehnice ale ofertei trebuie să includă rezultatele și condițiile specificate în  EIA și să respecte principiul DNSH</w:t>
            </w:r>
            <w:r w:rsidDel="00000000" w:rsidR="00000000" w:rsidRPr="00000000">
              <w:rPr>
                <w:rtl w:val="0"/>
              </w:rPr>
            </w:r>
          </w:p>
        </w:tc>
        <w:tc>
          <w:tcPr>
            <w:vAlign w:val="center"/>
          </w:tcPr>
          <w:p w:rsidR="00000000" w:rsidDel="00000000" w:rsidP="00000000" w:rsidRDefault="00000000" w:rsidRPr="00000000" w14:paraId="000000EA">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Anunț publicat în SICAP</w:t>
            </w:r>
          </w:p>
        </w:tc>
        <w:tc>
          <w:tcPr>
            <w:vAlign w:val="center"/>
          </w:tcPr>
          <w:p w:rsidR="00000000" w:rsidDel="00000000" w:rsidP="00000000" w:rsidRDefault="00000000" w:rsidRPr="00000000" w14:paraId="000000EB">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II 2022</w:t>
            </w:r>
          </w:p>
        </w:tc>
      </w:tr>
      <w:tr>
        <w:tc>
          <w:tcPr>
            <w:gridSpan w:val="3"/>
            <w:shd w:fill="92d050" w:val="clear"/>
            <w:vAlign w:val="center"/>
          </w:tcPr>
          <w:p w:rsidR="00000000" w:rsidDel="00000000" w:rsidP="00000000" w:rsidRDefault="00000000" w:rsidRPr="00000000" w14:paraId="000000EC">
            <w:pPr>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b w:val="1"/>
                <w:i w:val="1"/>
                <w:color w:val="000000"/>
                <w:sz w:val="24"/>
                <w:szCs w:val="24"/>
                <w:rtl w:val="0"/>
              </w:rPr>
              <w:t xml:space="preserve">Realizare investiție</w:t>
            </w:r>
            <w:r w:rsidDel="00000000" w:rsidR="00000000" w:rsidRPr="00000000">
              <w:rPr>
                <w:rtl w:val="0"/>
              </w:rPr>
            </w:r>
          </w:p>
        </w:tc>
      </w:tr>
      <w:tr>
        <w:tc>
          <w:tcPr>
            <w:vAlign w:val="center"/>
          </w:tcPr>
          <w:p w:rsidR="00000000" w:rsidDel="00000000" w:rsidP="00000000" w:rsidRDefault="00000000" w:rsidRPr="00000000" w14:paraId="000000EF">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Progres fizic 75% din totalul lungimilor de tuneluri metrou și stații aferente</w:t>
            </w:r>
          </w:p>
        </w:tc>
        <w:tc>
          <w:tcPr>
            <w:vAlign w:val="center"/>
          </w:tcPr>
          <w:p w:rsidR="00000000" w:rsidDel="00000000" w:rsidP="00000000" w:rsidRDefault="00000000" w:rsidRPr="00000000" w14:paraId="000000F0">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Raport de progres tehnic</w:t>
            </w:r>
          </w:p>
        </w:tc>
        <w:tc>
          <w:tcPr>
            <w:vAlign w:val="center"/>
          </w:tcPr>
          <w:p w:rsidR="00000000" w:rsidDel="00000000" w:rsidP="00000000" w:rsidRDefault="00000000" w:rsidRPr="00000000" w14:paraId="000000F1">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Trimestrul I</w:t>
            </w:r>
            <w:r w:rsidDel="00000000" w:rsidR="00000000" w:rsidRPr="00000000">
              <w:rPr>
                <w:rFonts w:ascii="Times New Roman" w:cs="Times New Roman" w:eastAsia="Times New Roman" w:hAnsi="Times New Roman"/>
                <w:sz w:val="24"/>
                <w:szCs w:val="24"/>
                <w:rtl w:val="0"/>
              </w:rPr>
              <w:t xml:space="preserve">V</w:t>
            </w:r>
            <w:r w:rsidDel="00000000" w:rsidR="00000000" w:rsidRPr="00000000">
              <w:rPr>
                <w:rFonts w:ascii="Times New Roman" w:cs="Times New Roman" w:eastAsia="Times New Roman" w:hAnsi="Times New Roman"/>
                <w:color w:val="000000"/>
                <w:sz w:val="24"/>
                <w:szCs w:val="24"/>
                <w:rtl w:val="0"/>
              </w:rPr>
              <w:t xml:space="preserve"> 2025</w:t>
            </w:r>
          </w:p>
        </w:tc>
      </w:tr>
    </w:tbl>
    <w:p w:rsidR="00000000" w:rsidDel="00000000" w:rsidP="00000000" w:rsidRDefault="00000000" w:rsidRPr="00000000" w14:paraId="000000F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sz w:val="24"/>
          <w:szCs w:val="24"/>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o-R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4VDvtSojjhvbtO0SJHAFzKMeaA==">AMUW2mURcB/+BrAtDlHcQHU90jH5q5RFcVrybEOa+rHZWS8DteYh12yQF4tkZUphAy+CDSQw6tOHJ2EbDXBDQTTkSNIZprExg5TcIQGx0j3p8KNApM8YPPE=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2021-05-27T08:37:00Z</dcterms:created>
  <dc:creator>Felix ARDELEAN</dc:creator>
</cp:coreProperties>
</file>