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68F5" w14:textId="35269C12" w:rsidR="00451A51" w:rsidRDefault="00451A51" w:rsidP="00EB3FCB">
      <w:pPr>
        <w:rPr>
          <w:rFonts w:ascii="Times New Roman" w:hAnsi="Times New Roman" w:cs="Times New Roman"/>
          <w:b/>
          <w:bCs/>
          <w:sz w:val="20"/>
          <w:szCs w:val="20"/>
        </w:rPr>
      </w:pPr>
      <w:r>
        <w:rPr>
          <w:rFonts w:ascii="Times New Roman" w:hAnsi="Times New Roman" w:cs="Times New Roman"/>
          <w:b/>
          <w:bCs/>
          <w:sz w:val="20"/>
          <w:szCs w:val="20"/>
        </w:rPr>
        <w:t>Componenta IV.1 Fondul Local Verde si Digital</w:t>
      </w:r>
    </w:p>
    <w:p w14:paraId="253E3DA0" w14:textId="4ED0A450" w:rsidR="00451A51" w:rsidRDefault="00451A51" w:rsidP="00EB3FCB">
      <w:pPr>
        <w:rPr>
          <w:rFonts w:ascii="Times New Roman" w:hAnsi="Times New Roman" w:cs="Times New Roman"/>
          <w:b/>
          <w:bCs/>
          <w:sz w:val="20"/>
          <w:szCs w:val="20"/>
        </w:rPr>
      </w:pPr>
      <w:r>
        <w:rPr>
          <w:rFonts w:ascii="Times New Roman" w:hAnsi="Times New Roman" w:cs="Times New Roman"/>
          <w:b/>
          <w:bCs/>
          <w:sz w:val="20"/>
          <w:szCs w:val="20"/>
        </w:rPr>
        <w:t>Analiza DNSH</w:t>
      </w:r>
    </w:p>
    <w:p w14:paraId="746E4844" w14:textId="77777777" w:rsidR="00451A51" w:rsidRDefault="00451A51" w:rsidP="00EB3FCB">
      <w:pPr>
        <w:rPr>
          <w:rFonts w:ascii="Times New Roman" w:hAnsi="Times New Roman" w:cs="Times New Roman"/>
          <w:b/>
          <w:bCs/>
          <w:sz w:val="20"/>
          <w:szCs w:val="20"/>
        </w:rPr>
      </w:pPr>
    </w:p>
    <w:p w14:paraId="6F959A5C" w14:textId="48A98288"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R1.1. Stabilirea  unui mecanism de implementare pentru Politica Urbană a României bazat pe o structură de guvernanță clară și principii de implementare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34DEAE27" w14:textId="77777777" w:rsidTr="008E5146">
        <w:trPr>
          <w:tblHeader/>
        </w:trPr>
        <w:tc>
          <w:tcPr>
            <w:tcW w:w="3403" w:type="dxa"/>
          </w:tcPr>
          <w:p w14:paraId="594FB3D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61B2C852"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22BBD8BE"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1B76BA88"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0F767C60" w14:textId="77777777" w:rsidTr="008E5146">
        <w:tc>
          <w:tcPr>
            <w:tcW w:w="3403" w:type="dxa"/>
          </w:tcPr>
          <w:p w14:paraId="5DCBD13A"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6F268DB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351771A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F71161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Politica Urbană a României are ca obiectiv transformarea zonelor urbane din România ca orașe reziliente, incluzive, accesibile, productive și bine guvernate. Politica Urbană a României 2020-2035 reprezintă un set de principii directoare de planificare, dezvoltare și management a zonelor urbane de toate dimensiunile, reprezentând totodată un instrument de consolidare a capacității administrative.  Politica Urbană a României transpune la nivel național principiile europene de dezvoltare urbană stabilite în Noua Carte de la Leipzig și reprezintă un sprijin pentru adaptarea orașelor în perioada de redresare economică, contribuind inclusiv la atingerea obiectivelor naționale privind schimbările climatice și decarbonizarea. </w:t>
            </w:r>
          </w:p>
          <w:p w14:paraId="1068A60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Prin creșterea capacității administrative pentru dezvoltarea urbană se asigură și o mai bună sustenabilitate financiară (stabilirea unui mediu investițional predictibil, o bună creativitate pentru generarea de cât mai multe venituri proprii la nivel local).</w:t>
            </w:r>
          </w:p>
          <w:p w14:paraId="19B62D3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va fi implementată astfel:</w:t>
            </w:r>
          </w:p>
          <w:p w14:paraId="7CF071A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M1: Aprobarea cadrului Politicii Urbane a României;</w:t>
            </w:r>
          </w:p>
          <w:p w14:paraId="2F46525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M2: Adoptarea legii Zonelor Metropolitane</w:t>
            </w:r>
          </w:p>
          <w:p w14:paraId="37D0BE2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M3: Adoptarea Strategiei Naționale a Locuirii</w:t>
            </w:r>
          </w:p>
          <w:p w14:paraId="5E1A9D2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M4: Crearea Platformei de date interoperabile, standardizate, platformă digitală urbană</w:t>
            </w:r>
          </w:p>
          <w:p w14:paraId="3E0BBE9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639C073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va fi realizata având în vedere cele mai bune practici cu privire la eficiența energetică a echipamentelor utilizate și managementul energiei.</w:t>
            </w:r>
          </w:p>
          <w:p w14:paraId="73CCB63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Astfel, reforma are un caracter principal legislativ, neavând impact semnificativ negativ asupra emisiilor de GHG.</w:t>
            </w:r>
          </w:p>
        </w:tc>
      </w:tr>
      <w:tr w:rsidR="00EB3FCB" w:rsidRPr="00D973E7" w14:paraId="2C5226FB" w14:textId="77777777" w:rsidTr="008E5146">
        <w:tc>
          <w:tcPr>
            <w:tcW w:w="3403" w:type="dxa"/>
          </w:tcPr>
          <w:p w14:paraId="4F8E2B0B"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1C16195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6D7F2D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58C8EE0"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procedural și de reglementare, nu se aduce atingere obiectivului de mediu privind adaptarea la schimbările climatice.</w:t>
            </w:r>
          </w:p>
        </w:tc>
      </w:tr>
      <w:tr w:rsidR="00EB3FCB" w:rsidRPr="00D973E7" w14:paraId="78820922" w14:textId="77777777" w:rsidTr="008E5146">
        <w:tc>
          <w:tcPr>
            <w:tcW w:w="3403" w:type="dxa"/>
          </w:tcPr>
          <w:p w14:paraId="66AE2B8C"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42C974D3"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59389C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818BFC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tc>
      </w:tr>
      <w:tr w:rsidR="00EB3FCB" w:rsidRPr="00D973E7" w14:paraId="42CDE1E7" w14:textId="77777777" w:rsidTr="008E5146">
        <w:tc>
          <w:tcPr>
            <w:tcW w:w="3403" w:type="dxa"/>
          </w:tcPr>
          <w:p w14:paraId="2FA5675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777B717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5BCC6C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622DDD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42A6671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p w14:paraId="04CE98B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04C6059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3BD0580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Totodată, la sfârșitul duratei de viață  a echipamengtelor se va avea în vedere respectarea prevederilor Anexei VII la Directiva 2012/19 / UE.</w:t>
            </w:r>
          </w:p>
        </w:tc>
      </w:tr>
      <w:tr w:rsidR="00EB3FCB" w:rsidRPr="00D973E7" w14:paraId="38A5167C" w14:textId="77777777" w:rsidTr="008E5146">
        <w:tc>
          <w:tcPr>
            <w:tcW w:w="3403" w:type="dxa"/>
          </w:tcPr>
          <w:p w14:paraId="6F604131"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5AB1F2A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7B7DD0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3A7D50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08946423" w14:textId="77777777" w:rsidTr="008E5146">
        <w:tc>
          <w:tcPr>
            <w:tcW w:w="3403" w:type="dxa"/>
          </w:tcPr>
          <w:p w14:paraId="305C66D1"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63E13C9C"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2DF20F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500539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3FD24BBC" w14:textId="77777777" w:rsidR="00EB3FCB" w:rsidRPr="00D973E7" w:rsidRDefault="00EB3FCB" w:rsidP="00EB3FCB">
      <w:pPr>
        <w:rPr>
          <w:rFonts w:ascii="Times New Roman" w:hAnsi="Times New Roman" w:cs="Times New Roman"/>
          <w:b/>
          <w:bCs/>
          <w:sz w:val="20"/>
          <w:szCs w:val="20"/>
        </w:rPr>
      </w:pPr>
    </w:p>
    <w:p w14:paraId="183F9090" w14:textId="77777777" w:rsidR="00EB3FCB" w:rsidRPr="00D973E7" w:rsidRDefault="00EB3FCB" w:rsidP="00EB3FCB">
      <w:pPr>
        <w:rPr>
          <w:rFonts w:ascii="Times New Roman" w:hAnsi="Times New Roman" w:cs="Times New Roman"/>
          <w:b/>
          <w:bCs/>
          <w:sz w:val="20"/>
          <w:szCs w:val="20"/>
        </w:rPr>
      </w:pPr>
    </w:p>
    <w:p w14:paraId="01B04DE8" w14:textId="1C0F7671"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R1.2. Crearea cadrului pentru mobilitatea urbană durabilă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16493AE6" w14:textId="77777777" w:rsidTr="008E5146">
        <w:trPr>
          <w:tblHeader/>
        </w:trPr>
        <w:tc>
          <w:tcPr>
            <w:tcW w:w="3403" w:type="dxa"/>
          </w:tcPr>
          <w:p w14:paraId="63A97241"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lastRenderedPageBreak/>
              <w:t>Please indicate which of the environmental objectives below require a substantive DNSH assessment of the measure</w:t>
            </w:r>
          </w:p>
        </w:tc>
        <w:tc>
          <w:tcPr>
            <w:tcW w:w="496" w:type="dxa"/>
          </w:tcPr>
          <w:p w14:paraId="76911190"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365BAC03"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75E2BBBD"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253A0535" w14:textId="77777777" w:rsidTr="008E5146">
        <w:tc>
          <w:tcPr>
            <w:tcW w:w="3403" w:type="dxa"/>
          </w:tcPr>
          <w:p w14:paraId="1265392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504DB44D"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00ADDD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BED6236"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Reforma va asigura preluarea la nivel național a prevederilor Strategiei pentru o mobilitate sustenabilă și inteligentă – înscrierea transporturilor europene pe calea viitorului, inclusă în Comunicarea Comisiei Europene C(2020) 789 din 9 decembrie 2020.</w:t>
            </w:r>
          </w:p>
          <w:p w14:paraId="6CDD9B0A"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Reforma vizează:</w:t>
            </w:r>
          </w:p>
          <w:p w14:paraId="0C91BE48"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 xml:space="preserve">1. Stabilirea de către Guvern a unei structuri naționale pentru a susține orașele în elaborarea Planurilor de Mobilitate Urbană Durabilă, incluzând standarde minime pentru serviciul de transport public (la nivel național) și pentru evaluarea și verificarea calității a PMUD. </w:t>
            </w:r>
          </w:p>
          <w:p w14:paraId="4E3D7625"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2. Adoptarea legislației privind mobilitatea urbană durabilă, incluzând:</w:t>
            </w:r>
          </w:p>
          <w:p w14:paraId="26EA46CE"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 măsuri privind transportul public verde (de ex. introducerea unor zone cu emisii 0 în orașele aglomerate și benzi dedicate transportului public, minimum % din mijloacele de transport public verde achiziționate de entități publice);</w:t>
            </w:r>
          </w:p>
          <w:p w14:paraId="04AB0CC1"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 angajamentul de a licita contracte de servicii publice la expirarea acestora;</w:t>
            </w:r>
          </w:p>
          <w:p w14:paraId="3114F944" w14:textId="77777777" w:rsidR="00EB3FCB" w:rsidRPr="00D973E7" w:rsidRDefault="00EB3FCB" w:rsidP="008E5146">
            <w:pPr>
              <w:jc w:val="both"/>
              <w:rPr>
                <w:rFonts w:ascii="Times New Roman" w:hAnsi="Times New Roman" w:cs="Times New Roman"/>
                <w:sz w:val="20"/>
                <w:szCs w:val="20"/>
              </w:rPr>
            </w:pPr>
            <w:r w:rsidRPr="00D973E7">
              <w:rPr>
                <w:rFonts w:ascii="Times New Roman" w:hAnsi="Times New Roman" w:cs="Times New Roman"/>
                <w:sz w:val="20"/>
                <w:szCs w:val="20"/>
              </w:rPr>
              <w:t>- stabilirea la nivel național a unor standarde minime pentru serviciile publice   (operațiuni regulate de transport public disponibile localităților în cadrul cărora este necesar și eficient serviciul de transport public).</w:t>
            </w:r>
          </w:p>
          <w:p w14:paraId="0CAB858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stabilirea Ghidului de elaborare a Planurilor de Mobilitate Urbană Durabilă pentru încadrarea acestora în prevederile Strategiei pentru o mobilitate sustenabilă și inteligentă – înscrierea transporturilor europene pe calea viitorului, inclusă în Comunicarea Comisiei Europene C(2020) 789 din 9 decembrie 2020; și pentru elaborarea PMUD la nivel de zonă metropolitană pentru municipiile reședință de județ;</w:t>
            </w:r>
          </w:p>
          <w:p w14:paraId="2B2EBED3" w14:textId="77777777" w:rsidR="00EB3FCB" w:rsidRPr="00D973E7" w:rsidRDefault="00EB3FCB" w:rsidP="008E5146">
            <w:pPr>
              <w:spacing w:after="120" w:line="240" w:lineRule="auto"/>
              <w:jc w:val="both"/>
              <w:rPr>
                <w:rFonts w:ascii="Times New Roman" w:eastAsia="Arial" w:hAnsi="Times New Roman" w:cs="Times New Roman"/>
                <w:color w:val="70AD47"/>
                <w:sz w:val="24"/>
                <w:szCs w:val="24"/>
              </w:rPr>
            </w:pPr>
            <w:r w:rsidRPr="00D973E7">
              <w:rPr>
                <w:rFonts w:ascii="Times New Roman" w:hAnsi="Times New Roman" w:cs="Times New Roman"/>
                <w:sz w:val="20"/>
                <w:szCs w:val="20"/>
              </w:rPr>
              <w:t>3. Adoptarea Ghidului pentru infrastructura de biciclete, în vederea pentru asigurării cadrului de implementare a proiectelor aferente infrastructurii pentru biciclete.</w:t>
            </w:r>
          </w:p>
          <w:p w14:paraId="3B5B6744" w14:textId="77777777" w:rsidR="00EB3FCB" w:rsidRPr="00D973E7" w:rsidRDefault="00EB3FCB" w:rsidP="008E5146">
            <w:pPr>
              <w:spacing w:after="120"/>
              <w:jc w:val="both"/>
              <w:rPr>
                <w:rFonts w:ascii="Times New Roman" w:hAnsi="Times New Roman" w:cs="Times New Roman"/>
                <w:sz w:val="20"/>
                <w:szCs w:val="20"/>
              </w:rPr>
            </w:pPr>
          </w:p>
          <w:p w14:paraId="3C95618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standardului CENELEC - CLC/TR 50600-99-1 Information technology - Data centre facilities and infrastructures - Part 99-1: Recommended practices for energy management în ceea ce privește practicile recomandate pentru managementul energiei.</w:t>
            </w:r>
          </w:p>
          <w:p w14:paraId="49CBA9B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lastRenderedPageBreak/>
              <w:t>Astfel, reforma are un caracter principal legislativ, normativ și procedural, neavând impact semnificativ negativ asupra emisiilor de GHG.</w:t>
            </w:r>
          </w:p>
        </w:tc>
      </w:tr>
      <w:tr w:rsidR="00EB3FCB" w:rsidRPr="00D973E7" w14:paraId="6CA64CE5" w14:textId="77777777" w:rsidTr="008E5146">
        <w:tc>
          <w:tcPr>
            <w:tcW w:w="3403" w:type="dxa"/>
          </w:tcPr>
          <w:p w14:paraId="3DE6792D"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4DC392A8"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2DE12A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C7F0994"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procedural și de reglementare, nu se aduce atingere obiectivului de mediu privind adaptarea la schimbările climatice.</w:t>
            </w:r>
          </w:p>
          <w:p w14:paraId="309F5C57"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efectua analize de risc climatic și de vulnerabilitate, iar soluțiile de adaptare rezultate ulterior derulării acestor analize vor fi implementate la nivelul măsurilor aferente reformei.</w:t>
            </w:r>
          </w:p>
        </w:tc>
      </w:tr>
      <w:tr w:rsidR="00EB3FCB" w:rsidRPr="00D973E7" w14:paraId="2E15E521" w14:textId="77777777" w:rsidTr="008E5146">
        <w:tc>
          <w:tcPr>
            <w:tcW w:w="3403" w:type="dxa"/>
          </w:tcPr>
          <w:p w14:paraId="42E0DE7C"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47C40719"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65131E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3F56E3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p w14:paraId="699256B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EB3FCB" w:rsidRPr="00D973E7" w14:paraId="3931EAAF" w14:textId="77777777" w:rsidTr="008E5146">
        <w:tc>
          <w:tcPr>
            <w:tcW w:w="3403" w:type="dxa"/>
          </w:tcPr>
          <w:p w14:paraId="1903E86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45F665F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8B3A72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F21446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7A49580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p w14:paraId="6AC35BC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63A60ED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utilizate nu conțin substanțlee restricționate listate în Anexa II la Directiva 2011/65/EU.</w:t>
            </w:r>
          </w:p>
          <w:p w14:paraId="7494CEA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w:t>
            </w:r>
            <w:r w:rsidRPr="00D973E7">
              <w:rPr>
                <w:rFonts w:ascii="Times New Roman" w:hAnsi="Times New Roman" w:cs="Times New Roman"/>
                <w:sz w:val="20"/>
                <w:szCs w:val="20"/>
              </w:rPr>
              <w:lastRenderedPageBreak/>
              <w:t xml:space="preserve">reciclare, reflectatî și de proiectțiile financiare sau documentele oficiale ale proiectului. </w:t>
            </w:r>
          </w:p>
          <w:p w14:paraId="0BC900D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tc>
      </w:tr>
      <w:tr w:rsidR="00EB3FCB" w:rsidRPr="00D973E7" w14:paraId="090F5726" w14:textId="77777777" w:rsidTr="008E5146">
        <w:tc>
          <w:tcPr>
            <w:tcW w:w="3403" w:type="dxa"/>
          </w:tcPr>
          <w:p w14:paraId="4B05065A"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Pollution prevention and control to air, water or land</w:t>
            </w:r>
          </w:p>
        </w:tc>
        <w:tc>
          <w:tcPr>
            <w:tcW w:w="496" w:type="dxa"/>
          </w:tcPr>
          <w:p w14:paraId="1AD18F2D"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46E7B1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D747DE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0A3170C9" w14:textId="77777777" w:rsidTr="008E5146">
        <w:tc>
          <w:tcPr>
            <w:tcW w:w="3403" w:type="dxa"/>
          </w:tcPr>
          <w:p w14:paraId="2C8EF7D1"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03C5CA72"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5F42FC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3D9161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25C08F3C" w14:textId="77777777" w:rsidR="00EB3FCB" w:rsidRPr="00D973E7" w:rsidRDefault="00EB3FCB" w:rsidP="00EB3FCB">
      <w:pPr>
        <w:rPr>
          <w:rFonts w:ascii="Times New Roman" w:hAnsi="Times New Roman" w:cs="Times New Roman"/>
          <w:b/>
          <w:bCs/>
          <w:sz w:val="20"/>
          <w:szCs w:val="20"/>
        </w:rPr>
      </w:pPr>
    </w:p>
    <w:p w14:paraId="6743BDD2"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R1.3. Reforma sistemului de planificare - Codul Amenajării Teritoriului, Urbanismului și Construcțiilor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016990E9" w14:textId="77777777" w:rsidTr="008E5146">
        <w:trPr>
          <w:tblHeader/>
        </w:trPr>
        <w:tc>
          <w:tcPr>
            <w:tcW w:w="3403" w:type="dxa"/>
          </w:tcPr>
          <w:p w14:paraId="2CD61701"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2C3D428D"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452EF61C"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35A476AD"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74CB189B" w14:textId="77777777" w:rsidTr="008E5146">
        <w:tc>
          <w:tcPr>
            <w:tcW w:w="3403" w:type="dxa"/>
          </w:tcPr>
          <w:p w14:paraId="49E8E7C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070F97E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C4448F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2B0452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vizează Codul Amenajării Teritoriului adoptat, pentru a permite: actualizarea în format GIS a planurilor de amenajare a teritoriului și a planurilor urbanistice generale pentru alinierea la noile principii ale Politicii Urbane a României și ale Codului (promovând printre altele transportul durabil, infrastructura verde și albastră și soluții eficiente energetic); crearea unor structuri regionale pentru amenajarea teritoriului pentru a implementa o planificare teritorială coordonată la nivelul zonelor urbane funcționale</w:t>
            </w:r>
          </w:p>
          <w:p w14:paraId="1F5AF5E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urmărește inclusiv aprobarea Ghidului  privind gestionarea şi implementarea documentaţiilor de amenajarea teritoriului si de urbanism, inclusiv în sistem GIS.</w:t>
            </w:r>
          </w:p>
          <w:p w14:paraId="7F98E3A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Se vor respecta prevederile legislaţiei în domeniu, inclusiv din perspectiva directivei INSPIRE. </w:t>
            </w:r>
          </w:p>
          <w:p w14:paraId="2763639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Codului de conduită privind eficiența energetică a data center-lor (Code of Conduct for Energy Efficiency in Data Centres – versiunea cea mai recentă, actualmente 2021), precum și a standardului CENELEC - CLC/TR 50600-99-1 Information technology - Data centre facilities and infrastructures - Part 99-1: Recommended practices for energy management în ceea ce privește practicile recomandate pentru managementul energiei.</w:t>
            </w:r>
          </w:p>
          <w:p w14:paraId="2AF0D93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lastRenderedPageBreak/>
              <w:t>Astfel, reforma are un caracter principal legislativ, normativ și procedural, neavând impact semnificativ negativ asupra emisiilor de GHG.</w:t>
            </w:r>
          </w:p>
        </w:tc>
      </w:tr>
      <w:tr w:rsidR="00EB3FCB" w:rsidRPr="00D973E7" w14:paraId="2B02AA0D" w14:textId="77777777" w:rsidTr="008E5146">
        <w:tc>
          <w:tcPr>
            <w:tcW w:w="3403" w:type="dxa"/>
          </w:tcPr>
          <w:p w14:paraId="2E7BE088"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61617C60"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3ED46D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0C38962"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procedural și de reglementare, nu se aduce atingere obiectivului de mediu privind adaptarea la schimbările climatice.</w:t>
            </w:r>
          </w:p>
          <w:p w14:paraId="187A685E"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efectua analize de risc climatic și de vulnerabilitate, iar soluțiile de adaptare rezultate ulterior derulării acestor analize vor fi implementate la nivelul măsurilor aferente reformei.</w:t>
            </w:r>
          </w:p>
        </w:tc>
      </w:tr>
      <w:tr w:rsidR="00EB3FCB" w:rsidRPr="00D973E7" w14:paraId="59F1F339" w14:textId="77777777" w:rsidTr="008E5146">
        <w:tc>
          <w:tcPr>
            <w:tcW w:w="3403" w:type="dxa"/>
          </w:tcPr>
          <w:p w14:paraId="20428EA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3466DBDB"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90D35D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AD6D49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p w14:paraId="5EA779A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EB3FCB" w:rsidRPr="00D973E7" w14:paraId="0A30841A" w14:textId="77777777" w:rsidTr="008E5146">
        <w:tc>
          <w:tcPr>
            <w:tcW w:w="3403" w:type="dxa"/>
          </w:tcPr>
          <w:p w14:paraId="320CB477"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2C73FC25"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89CD2C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34F3D7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01F5CCF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p w14:paraId="4DC58F5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2F19453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utilizate nu conțin substanțlee restricționate listate în Anexa II la Directiva 2011/65/EU.</w:t>
            </w:r>
          </w:p>
          <w:p w14:paraId="77803CF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w:t>
            </w:r>
            <w:r w:rsidRPr="00D973E7">
              <w:rPr>
                <w:rFonts w:ascii="Times New Roman" w:hAnsi="Times New Roman" w:cs="Times New Roman"/>
                <w:sz w:val="20"/>
                <w:szCs w:val="20"/>
              </w:rPr>
              <w:lastRenderedPageBreak/>
              <w:t xml:space="preserve">reciclare, reflectatî și de proiectțiile financiare sau documentele oficiale ale proiectului. </w:t>
            </w:r>
          </w:p>
          <w:p w14:paraId="0DAEE915"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tc>
      </w:tr>
      <w:tr w:rsidR="00EB3FCB" w:rsidRPr="00D973E7" w14:paraId="1D9DE8D1" w14:textId="77777777" w:rsidTr="008E5146">
        <w:tc>
          <w:tcPr>
            <w:tcW w:w="3403" w:type="dxa"/>
          </w:tcPr>
          <w:p w14:paraId="0248992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Pollution prevention and control to air, water or land</w:t>
            </w:r>
          </w:p>
        </w:tc>
        <w:tc>
          <w:tcPr>
            <w:tcW w:w="496" w:type="dxa"/>
          </w:tcPr>
          <w:p w14:paraId="36279654"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7BEDA5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FCB844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1936A4A4" w14:textId="77777777" w:rsidTr="008E5146">
        <w:tc>
          <w:tcPr>
            <w:tcW w:w="3403" w:type="dxa"/>
          </w:tcPr>
          <w:p w14:paraId="4DF951AC"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70BF12B7"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D3DF18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C67125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1618394E"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R2.1. Crearea cadrului de implementare a Strategiei  de Dezvoltare Teritorială a României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2E0B9B3B" w14:textId="77777777" w:rsidTr="008E5146">
        <w:trPr>
          <w:tblHeader/>
        </w:trPr>
        <w:tc>
          <w:tcPr>
            <w:tcW w:w="3403" w:type="dxa"/>
          </w:tcPr>
          <w:p w14:paraId="3A5B3223"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579F498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14D4673C"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33891C33"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71D96C39" w14:textId="77777777" w:rsidTr="008E5146">
        <w:tc>
          <w:tcPr>
            <w:tcW w:w="3403" w:type="dxa"/>
          </w:tcPr>
          <w:p w14:paraId="0E4F03F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085728C5"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2C3B67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93C46E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SDTR va cuprinde măsuri strategice și operaționale, la nivel național și regional, care vor conduce la îmbunătățirea coeziunii teritoriale.</w:t>
            </w:r>
          </w:p>
          <w:p w14:paraId="1878EAE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Astfel, reforma are un caracter principal legislativ, neavând impact semnificativ negativ asupra emisiilor de GHG.</w:t>
            </w:r>
          </w:p>
        </w:tc>
      </w:tr>
      <w:tr w:rsidR="00EB3FCB" w:rsidRPr="00D973E7" w14:paraId="73498340" w14:textId="77777777" w:rsidTr="008E5146">
        <w:tc>
          <w:tcPr>
            <w:tcW w:w="3403" w:type="dxa"/>
          </w:tcPr>
          <w:p w14:paraId="3D19B6A7"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1E80E688"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218BC4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9FBFDEF"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și de reglementare, nu se aduce atingere obiectivului de mediu privind adaptarea la schimbările climatice.</w:t>
            </w:r>
          </w:p>
        </w:tc>
      </w:tr>
      <w:tr w:rsidR="00EB3FCB" w:rsidRPr="00D973E7" w14:paraId="3C479528" w14:textId="77777777" w:rsidTr="008E5146">
        <w:tc>
          <w:tcPr>
            <w:tcW w:w="3403" w:type="dxa"/>
          </w:tcPr>
          <w:p w14:paraId="663D2EC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5437695F"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CD2316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6BD6E9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tc>
      </w:tr>
      <w:tr w:rsidR="00EB3FCB" w:rsidRPr="00D973E7" w14:paraId="1B716512" w14:textId="77777777" w:rsidTr="008E5146">
        <w:tc>
          <w:tcPr>
            <w:tcW w:w="3403" w:type="dxa"/>
          </w:tcPr>
          <w:p w14:paraId="2131E94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12CE7EF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6EA8CF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F2EF6D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07C13DE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tc>
      </w:tr>
      <w:tr w:rsidR="00EB3FCB" w:rsidRPr="00D973E7" w14:paraId="771FFF7A" w14:textId="77777777" w:rsidTr="008E5146">
        <w:tc>
          <w:tcPr>
            <w:tcW w:w="3403" w:type="dxa"/>
          </w:tcPr>
          <w:p w14:paraId="683F315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5B53B8BB"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35E2C2A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751C5D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5C6CB3B4" w14:textId="77777777" w:rsidTr="008E5146">
        <w:tc>
          <w:tcPr>
            <w:tcW w:w="3403" w:type="dxa"/>
          </w:tcPr>
          <w:p w14:paraId="2198EFD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0336FDE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FB8449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B2D1AE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5136E04C" w14:textId="77777777" w:rsidR="00EB3FCB" w:rsidRPr="00D973E7" w:rsidRDefault="00EB3FCB" w:rsidP="00EB3FCB">
      <w:pPr>
        <w:rPr>
          <w:rFonts w:ascii="Times New Roman" w:hAnsi="Times New Roman" w:cs="Times New Roman"/>
          <w:b/>
          <w:bCs/>
          <w:sz w:val="20"/>
          <w:szCs w:val="20"/>
        </w:rPr>
      </w:pPr>
    </w:p>
    <w:p w14:paraId="4147B0A1"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lastRenderedPageBreak/>
        <w:t>R2.2. Lege pentru reducerea disparităților teritoriale și stabilirea unor măsuri investiționale și fiscale pentru creșterea coeziunii teritoriale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6FFF5E47" w14:textId="77777777" w:rsidTr="008E5146">
        <w:trPr>
          <w:tblHeader/>
        </w:trPr>
        <w:tc>
          <w:tcPr>
            <w:tcW w:w="3403" w:type="dxa"/>
          </w:tcPr>
          <w:p w14:paraId="764FF557"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7483F72C"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05AE5AD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0CDF5CFF"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5941A948" w14:textId="77777777" w:rsidTr="008E5146">
        <w:tc>
          <w:tcPr>
            <w:tcW w:w="3403" w:type="dxa"/>
          </w:tcPr>
          <w:p w14:paraId="32D0BA1D"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0C80A8C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3ED8982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651647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presupune stabilirea unor măsuri investiționale și fiscale pentru creșterea coeziunii teritoriale prin aprobarea proiectului de lege privind disparitățile teritoriale în vederea asigurării cadrului pentru reducerea disparităților teritoriale inter și intra-regionale, urban-rural sau rural-rural.</w:t>
            </w:r>
          </w:p>
          <w:p w14:paraId="4B88C6D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Astfel, reforma are un caracter principal legislativ, neavând impact semnificativ negativ asupra emisiilor de GHG.</w:t>
            </w:r>
          </w:p>
        </w:tc>
      </w:tr>
      <w:tr w:rsidR="00EB3FCB" w:rsidRPr="00D973E7" w14:paraId="49C14899" w14:textId="77777777" w:rsidTr="008E5146">
        <w:tc>
          <w:tcPr>
            <w:tcW w:w="3403" w:type="dxa"/>
          </w:tcPr>
          <w:p w14:paraId="4708144F"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1BFFFCC8"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691559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08CEF33"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și de reglementare, nu se aduce atingere obiectivului de mediu privind adaptarea la schimbările climatice.</w:t>
            </w:r>
          </w:p>
        </w:tc>
      </w:tr>
      <w:tr w:rsidR="00EB3FCB" w:rsidRPr="00D973E7" w14:paraId="323CBCFA" w14:textId="77777777" w:rsidTr="008E5146">
        <w:tc>
          <w:tcPr>
            <w:tcW w:w="3403" w:type="dxa"/>
          </w:tcPr>
          <w:p w14:paraId="170B03F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1CA37079"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51E9AB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2222045"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tc>
      </w:tr>
      <w:tr w:rsidR="00EB3FCB" w:rsidRPr="00D973E7" w14:paraId="5F07F977" w14:textId="77777777" w:rsidTr="008E5146">
        <w:tc>
          <w:tcPr>
            <w:tcW w:w="3403" w:type="dxa"/>
          </w:tcPr>
          <w:p w14:paraId="5F2A885A"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7DBDD41C"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67F3A3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9E86C1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3487F67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tc>
      </w:tr>
      <w:tr w:rsidR="00EB3FCB" w:rsidRPr="00D973E7" w14:paraId="3D02D8A4" w14:textId="77777777" w:rsidTr="008E5146">
        <w:tc>
          <w:tcPr>
            <w:tcW w:w="3403" w:type="dxa"/>
          </w:tcPr>
          <w:p w14:paraId="4FFA453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4F3D1F0C"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6DCFCA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6D6799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573E3168" w14:textId="77777777" w:rsidTr="008E5146">
        <w:tc>
          <w:tcPr>
            <w:tcW w:w="3403" w:type="dxa"/>
          </w:tcPr>
          <w:p w14:paraId="313DD60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2C49C60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53FE14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EB3152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07FA593F" w14:textId="77777777" w:rsidR="00EB3FCB" w:rsidRPr="00D973E7" w:rsidRDefault="00EB3FCB" w:rsidP="00EB3FCB">
      <w:pPr>
        <w:rPr>
          <w:rFonts w:ascii="Times New Roman" w:hAnsi="Times New Roman" w:cs="Times New Roman"/>
          <w:b/>
          <w:bCs/>
          <w:sz w:val="20"/>
          <w:szCs w:val="20"/>
        </w:rPr>
      </w:pPr>
    </w:p>
    <w:p w14:paraId="2A3E8008"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R2.3. Consorții administrative pentru a îmbunătăți eficiența serviciilor publice și eficacitatea implementării investițiilor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2015DEC7" w14:textId="77777777" w:rsidTr="008E5146">
        <w:trPr>
          <w:tblHeader/>
        </w:trPr>
        <w:tc>
          <w:tcPr>
            <w:tcW w:w="3403" w:type="dxa"/>
          </w:tcPr>
          <w:p w14:paraId="3AC28AF3"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54595029"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01652478"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2034AE77"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003EDFA9" w14:textId="77777777" w:rsidTr="008E5146">
        <w:tc>
          <w:tcPr>
            <w:tcW w:w="3403" w:type="dxa"/>
          </w:tcPr>
          <w:p w14:paraId="02104B9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46302F57"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194F22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A1A137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Reforma propusă are în vedere creșterea capacității autorităților administrației publice locale prin implementarea și dezvoltarea de parteneriate între unitățile administrativ-teritoriale pentru eficientizarea utilizării resurselor umane specializate si pentru creșterea capacității de implementare a proiectelor de investiții publice. </w:t>
            </w:r>
            <w:r w:rsidRPr="00D973E7">
              <w:rPr>
                <w:rFonts w:ascii="Times New Roman" w:hAnsi="Times New Roman" w:cs="Times New Roman"/>
                <w:sz w:val="20"/>
                <w:szCs w:val="20"/>
              </w:rPr>
              <w:lastRenderedPageBreak/>
              <w:t>Concret, se urmărește Adoptarea unui act normativ pentru modificarea și completarea OUG nr. 57/2019 privind Codul administrativ în sensul reglementării regimului juridic al organizării și funcționării consorțiilor administrative.</w:t>
            </w:r>
          </w:p>
          <w:p w14:paraId="256A760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Astfel, reforma are un caracter principal legislativ, neavând impact semnificativ negativ asupra emisiilor de GHG.</w:t>
            </w:r>
          </w:p>
        </w:tc>
      </w:tr>
      <w:tr w:rsidR="00EB3FCB" w:rsidRPr="00D973E7" w14:paraId="24B9D76F" w14:textId="77777777" w:rsidTr="008E5146">
        <w:tc>
          <w:tcPr>
            <w:tcW w:w="3403" w:type="dxa"/>
          </w:tcPr>
          <w:p w14:paraId="07170634"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1955A80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061BB9B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0AFD636"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procedural și de reglementare, nu se aduce atingere obiectivului de mediu privind adaptarea la schimbările climatice.</w:t>
            </w:r>
          </w:p>
        </w:tc>
      </w:tr>
      <w:tr w:rsidR="00EB3FCB" w:rsidRPr="00D973E7" w14:paraId="1BB101F7" w14:textId="77777777" w:rsidTr="008E5146">
        <w:tc>
          <w:tcPr>
            <w:tcW w:w="3403" w:type="dxa"/>
          </w:tcPr>
          <w:p w14:paraId="088A784C"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4335AD3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D42D3E5"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7C7EBE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tc>
      </w:tr>
      <w:tr w:rsidR="00EB3FCB" w:rsidRPr="00D973E7" w14:paraId="1E913ABD" w14:textId="77777777" w:rsidTr="008E5146">
        <w:tc>
          <w:tcPr>
            <w:tcW w:w="3403" w:type="dxa"/>
          </w:tcPr>
          <w:p w14:paraId="70A5116E"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079AABB7"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3BA3D9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2ADA510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14626A35"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tc>
      </w:tr>
      <w:tr w:rsidR="00EB3FCB" w:rsidRPr="00D973E7" w14:paraId="12EFEC4C" w14:textId="77777777" w:rsidTr="008E5146">
        <w:tc>
          <w:tcPr>
            <w:tcW w:w="3403" w:type="dxa"/>
          </w:tcPr>
          <w:p w14:paraId="4487231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0F597582"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5FDBB6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220AC9E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4D5208FD" w14:textId="77777777" w:rsidTr="008E5146">
        <w:tc>
          <w:tcPr>
            <w:tcW w:w="3403" w:type="dxa"/>
          </w:tcPr>
          <w:p w14:paraId="1948E97E"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1D323DFF"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B813475"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6C637A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5F2FAD65" w14:textId="77777777" w:rsidR="00EB3FCB" w:rsidRPr="00D973E7" w:rsidRDefault="00EB3FCB" w:rsidP="00EB3FCB">
      <w:pPr>
        <w:rPr>
          <w:rFonts w:ascii="Times New Roman" w:hAnsi="Times New Roman" w:cs="Times New Roman"/>
          <w:b/>
          <w:bCs/>
          <w:sz w:val="20"/>
          <w:szCs w:val="20"/>
        </w:rPr>
      </w:pPr>
    </w:p>
    <w:p w14:paraId="431BF394"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R2.4.</w:t>
      </w:r>
      <w:r w:rsidRPr="00D973E7">
        <w:rPr>
          <w:rFonts w:ascii="Times New Roman" w:hAnsi="Times New Roman" w:cs="Times New Roman"/>
        </w:rPr>
        <w:t xml:space="preserve"> </w:t>
      </w:r>
      <w:r w:rsidRPr="00D973E7">
        <w:rPr>
          <w:rFonts w:ascii="Times New Roman" w:hAnsi="Times New Roman" w:cs="Times New Roman"/>
          <w:b/>
          <w:bCs/>
          <w:sz w:val="20"/>
          <w:szCs w:val="20"/>
        </w:rPr>
        <w:t>Adoptarea cadrului legislativ și instituţional pentru dezvoltarea de piste velo și trasee cicloturistice, de rang naţional și regional, prin crearea și, după caz, actualizarea legislaţiei de profil, precum și prin crearea unei entități cu rol de coordonator naţional al reţelei, inclusiv a traseelor EuroVelo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018F5166" w14:textId="77777777" w:rsidTr="008E5146">
        <w:trPr>
          <w:tblHeader/>
        </w:trPr>
        <w:tc>
          <w:tcPr>
            <w:tcW w:w="3403" w:type="dxa"/>
          </w:tcPr>
          <w:p w14:paraId="225C4038"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48187AD0"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6E2C4890"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33E8B5B3"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5C881FE1" w14:textId="77777777" w:rsidTr="008E5146">
        <w:tc>
          <w:tcPr>
            <w:tcW w:w="3403" w:type="dxa"/>
          </w:tcPr>
          <w:p w14:paraId="72326076"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11AB87BB"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7C82CF7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15F2EA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urmărește:</w:t>
            </w:r>
          </w:p>
          <w:p w14:paraId="7B8E804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1. Adoptarea legii pentru cicloturism;</w:t>
            </w:r>
          </w:p>
          <w:p w14:paraId="24DC376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2. Adoptarea cadrului metodologic privind crearea, amenajarea şi omologarea pistelor velor și traseelor de cicloturism;</w:t>
            </w:r>
          </w:p>
          <w:p w14:paraId="2F463DF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lastRenderedPageBreak/>
              <w:t>3. Înființarea Centrului Naţional de Coordonare, în care va fi integrat Centrul Naţional de Coordonare EuroVelo</w:t>
            </w:r>
          </w:p>
          <w:p w14:paraId="34C3F48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Astfel, reforma are un caracter principal legislativ, normativ și procedural, neavând impact semnificativ negativ asupra emisiilor de GHG.</w:t>
            </w:r>
          </w:p>
        </w:tc>
      </w:tr>
      <w:tr w:rsidR="00EB3FCB" w:rsidRPr="00D973E7" w14:paraId="69E5D12B" w14:textId="77777777" w:rsidTr="008E5146">
        <w:tc>
          <w:tcPr>
            <w:tcW w:w="3403" w:type="dxa"/>
          </w:tcPr>
          <w:p w14:paraId="6D3BCFDB"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2AA1EB9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0D7AA0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CA32597" w14:textId="77777777" w:rsidR="00EB3FCB" w:rsidRPr="00D973E7" w:rsidRDefault="00EB3FCB" w:rsidP="008E5146">
            <w:pPr>
              <w:spacing w:after="120"/>
              <w:ind w:left="90"/>
              <w:jc w:val="both"/>
              <w:rPr>
                <w:rFonts w:ascii="Times New Roman" w:hAnsi="Times New Roman" w:cs="Times New Roman"/>
                <w:sz w:val="20"/>
                <w:szCs w:val="20"/>
              </w:rPr>
            </w:pPr>
            <w:r w:rsidRPr="00D973E7">
              <w:rPr>
                <w:rFonts w:ascii="Times New Roman" w:hAnsi="Times New Roman" w:cs="Times New Roman"/>
                <w:sz w:val="20"/>
                <w:szCs w:val="20"/>
              </w:rPr>
              <w:t>Prin specificul activităților care urmează a fi desfășurate, ce au caracter normativ, procedural și de reglementare, nu se aduce atingere obiectivului de mediu privind adaptarea la schimbările climatice.</w:t>
            </w:r>
          </w:p>
        </w:tc>
      </w:tr>
      <w:tr w:rsidR="00EB3FCB" w:rsidRPr="00D973E7" w14:paraId="07E15BEB" w14:textId="77777777" w:rsidTr="008E5146">
        <w:tc>
          <w:tcPr>
            <w:tcW w:w="3403" w:type="dxa"/>
          </w:tcPr>
          <w:p w14:paraId="30964B1E"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10CC9857"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3FCFE4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BB4886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sunt identificate riscuri de degradare a mediului legate de protejarea calității apei și de stresul hidric.</w:t>
            </w:r>
          </w:p>
        </w:tc>
      </w:tr>
      <w:tr w:rsidR="00EB3FCB" w:rsidRPr="00D973E7" w14:paraId="6972A82B" w14:textId="77777777" w:rsidTr="008E5146">
        <w:tc>
          <w:tcPr>
            <w:tcW w:w="3403" w:type="dxa"/>
          </w:tcPr>
          <w:p w14:paraId="6B8FF5F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0CDB523B"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4EE6B1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98F1A0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au fost identificate efecte directe sau indirecte care să aibă impact negativ asupra economiei circulare sau creșterii cantității de deșeuri generate.</w:t>
            </w:r>
          </w:p>
          <w:p w14:paraId="61E6AC7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va urmări utilizarea papetăriei și derivatelor cu proveniență din materiale reciclate și utilizarea produselor/ echipamentelor/ consumabilelor pentru întreținere din materiale biodegradabile.</w:t>
            </w:r>
          </w:p>
        </w:tc>
      </w:tr>
      <w:tr w:rsidR="00EB3FCB" w:rsidRPr="00D973E7" w14:paraId="338A4AE6" w14:textId="77777777" w:rsidTr="008E5146">
        <w:tc>
          <w:tcPr>
            <w:tcW w:w="3403" w:type="dxa"/>
          </w:tcPr>
          <w:p w14:paraId="6EAA652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19F70905"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3521D0D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D56BC7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Nu se preconizează că măsura va duce la o creștere semnificativă a emisiilor de poluanți în aer, apă sau sol.</w:t>
            </w:r>
          </w:p>
        </w:tc>
      </w:tr>
      <w:tr w:rsidR="00EB3FCB" w:rsidRPr="00D973E7" w14:paraId="78C9D6B4" w14:textId="77777777" w:rsidTr="008E5146">
        <w:tc>
          <w:tcPr>
            <w:tcW w:w="3403" w:type="dxa"/>
          </w:tcPr>
          <w:p w14:paraId="5B682FA5"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46F8C1D4"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030C9A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7AB47A6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Reforma nu are legătură cu zone sensibile din punct de vedere al biodiversității sau arii protejate.</w:t>
            </w:r>
          </w:p>
        </w:tc>
      </w:tr>
    </w:tbl>
    <w:p w14:paraId="723EA442" w14:textId="77777777" w:rsidR="00EB3FCB" w:rsidRPr="00D973E7" w:rsidRDefault="00EB3FCB" w:rsidP="00EB3FCB">
      <w:pPr>
        <w:rPr>
          <w:rFonts w:ascii="Times New Roman" w:hAnsi="Times New Roman" w:cs="Times New Roman"/>
          <w:b/>
          <w:bCs/>
          <w:sz w:val="20"/>
          <w:szCs w:val="20"/>
        </w:rPr>
      </w:pPr>
    </w:p>
    <w:p w14:paraId="68307554"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 xml:space="preserve">I1. Intervenții pentru tranziția verde și digitală în municipiile reședință de județ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0F33E885" w14:textId="77777777" w:rsidTr="008E5146">
        <w:trPr>
          <w:tblHeader/>
        </w:trPr>
        <w:tc>
          <w:tcPr>
            <w:tcW w:w="3403" w:type="dxa"/>
          </w:tcPr>
          <w:p w14:paraId="26121360"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1E7E070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63E006AF"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246D466F"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2A24D5F3" w14:textId="77777777" w:rsidTr="008E5146">
        <w:tc>
          <w:tcPr>
            <w:tcW w:w="3403" w:type="dxa"/>
          </w:tcPr>
          <w:p w14:paraId="556BE1C6"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26C1504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130B9F5"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255ADEDF"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10BD6DCD" w14:textId="77777777" w:rsidTr="008E5146">
        <w:tc>
          <w:tcPr>
            <w:tcW w:w="3403" w:type="dxa"/>
          </w:tcPr>
          <w:p w14:paraId="623082F3"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7A1C7C8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31E2B94A"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61EB08CC" w14:textId="77777777" w:rsidR="00EB3FCB" w:rsidRPr="00D973E7" w:rsidRDefault="00EB3FCB" w:rsidP="008E5146">
            <w:pPr>
              <w:spacing w:after="120"/>
              <w:ind w:left="90"/>
              <w:jc w:val="both"/>
              <w:rPr>
                <w:rFonts w:ascii="Times New Roman" w:hAnsi="Times New Roman" w:cs="Times New Roman"/>
                <w:sz w:val="20"/>
                <w:szCs w:val="20"/>
              </w:rPr>
            </w:pPr>
          </w:p>
        </w:tc>
      </w:tr>
      <w:tr w:rsidR="00EB3FCB" w:rsidRPr="00D973E7" w14:paraId="42BBA044" w14:textId="77777777" w:rsidTr="008E5146">
        <w:tc>
          <w:tcPr>
            <w:tcW w:w="3403" w:type="dxa"/>
          </w:tcPr>
          <w:p w14:paraId="4E2A1655"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3FA791F2"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A96CD4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264EDB6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pe  parcursul întregului său ciclu de viață nu este nocivă pentru starea bună sau pentru potențialul ecologic bun al corpurilor de apă, prin urmare  nu  are niciun impact previzibil asupra acestui obiectiv de mediu.</w:t>
            </w:r>
          </w:p>
          <w:p w14:paraId="3A434BB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w:t>
            </w:r>
            <w:r w:rsidRPr="00D973E7">
              <w:rPr>
                <w:rFonts w:ascii="Times New Roman" w:hAnsi="Times New Roman" w:cs="Times New Roman"/>
                <w:sz w:val="20"/>
                <w:szCs w:val="20"/>
              </w:rPr>
              <w:lastRenderedPageBreak/>
              <w:t>apei, iar planul de management în domeniul protecției apei va fi dezvoltat pentru toate corpurile de apă potențial afectate, prin consultare cu actorii relevanți.</w:t>
            </w:r>
          </w:p>
        </w:tc>
      </w:tr>
      <w:tr w:rsidR="00EB3FCB" w:rsidRPr="00D973E7" w14:paraId="7A62A4ED" w14:textId="77777777" w:rsidTr="008E5146">
        <w:tc>
          <w:tcPr>
            <w:tcW w:w="3403" w:type="dxa"/>
          </w:tcPr>
          <w:p w14:paraId="330017D0"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The circular economy, including waste prevention and recycling</w:t>
            </w:r>
          </w:p>
        </w:tc>
        <w:tc>
          <w:tcPr>
            <w:tcW w:w="496" w:type="dxa"/>
          </w:tcPr>
          <w:p w14:paraId="259E488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44502A58"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5275559F"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590EB36F" w14:textId="77777777" w:rsidTr="008E5146">
        <w:tc>
          <w:tcPr>
            <w:tcW w:w="3403" w:type="dxa"/>
          </w:tcPr>
          <w:p w14:paraId="355E151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755B793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5145B108"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79A56488"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1B5045D1" w14:textId="77777777" w:rsidTr="008E5146">
        <w:tc>
          <w:tcPr>
            <w:tcW w:w="3403" w:type="dxa"/>
          </w:tcPr>
          <w:p w14:paraId="2406973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2BE5114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0DD4658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284891C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investiții nu vizează zone sensibile din perspectiva biodiversității și a ecosistemelor (Natura 2000, Patrimoniul UNESCO sau alte zone protejate) și nu au impact previzibil asupra acestui obiectiv de mediu.</w:t>
            </w:r>
          </w:p>
          <w:p w14:paraId="030CC0E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tc>
      </w:tr>
    </w:tbl>
    <w:p w14:paraId="719320BE" w14:textId="77777777" w:rsidR="00EB3FCB" w:rsidRPr="00D973E7" w:rsidRDefault="00EB3FCB" w:rsidP="00EB3FCB">
      <w:pPr>
        <w:rPr>
          <w:rFonts w:ascii="Times New Roman" w:hAnsi="Times New Roman" w:cs="Times New Roman"/>
          <w:b/>
          <w:bCs/>
          <w:sz w:val="20"/>
          <w:szCs w:val="20"/>
        </w:rPr>
      </w:pPr>
    </w:p>
    <w:tbl>
      <w:tblPr>
        <w:tblStyle w:val="TableGrid"/>
        <w:tblW w:w="9249" w:type="dxa"/>
        <w:tblLook w:val="04A0" w:firstRow="1" w:lastRow="0" w:firstColumn="1" w:lastColumn="0" w:noHBand="0" w:noVBand="1"/>
      </w:tblPr>
      <w:tblGrid>
        <w:gridCol w:w="3399"/>
        <w:gridCol w:w="493"/>
        <w:gridCol w:w="5357"/>
      </w:tblGrid>
      <w:tr w:rsidR="00EB3FCB" w:rsidRPr="00D973E7" w14:paraId="254BBADA" w14:textId="77777777" w:rsidTr="008E5146">
        <w:tc>
          <w:tcPr>
            <w:tcW w:w="3399" w:type="dxa"/>
          </w:tcPr>
          <w:p w14:paraId="345C043F"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sz w:val="20"/>
              </w:rPr>
              <w:t>Questions</w:t>
            </w:r>
          </w:p>
        </w:tc>
        <w:tc>
          <w:tcPr>
            <w:tcW w:w="493" w:type="dxa"/>
          </w:tcPr>
          <w:p w14:paraId="491BBC0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No</w:t>
            </w:r>
          </w:p>
        </w:tc>
        <w:tc>
          <w:tcPr>
            <w:tcW w:w="5357" w:type="dxa"/>
          </w:tcPr>
          <w:p w14:paraId="48093BE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Substantive justification</w:t>
            </w:r>
          </w:p>
        </w:tc>
      </w:tr>
      <w:tr w:rsidR="00EB3FCB" w:rsidRPr="00D973E7" w14:paraId="1E8209BD" w14:textId="77777777" w:rsidTr="008E5146">
        <w:tc>
          <w:tcPr>
            <w:tcW w:w="3399" w:type="dxa"/>
          </w:tcPr>
          <w:p w14:paraId="654BFDEE"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color w:val="000000"/>
                <w:sz w:val="20"/>
                <w:shd w:val="clear" w:color="auto" w:fill="FFFFFF"/>
              </w:rPr>
              <w:t>Climate change mitigation</w:t>
            </w:r>
            <w:r w:rsidRPr="00D973E7">
              <w:rPr>
                <w:rFonts w:ascii="Times New Roman" w:hAnsi="Times New Roman" w:cs="Times New Roman"/>
                <w:color w:val="000000"/>
                <w:sz w:val="20"/>
                <w:shd w:val="clear" w:color="auto" w:fill="FFFFFF"/>
              </w:rPr>
              <w:t>: Is the measure expected to lead to significant GHG emissions?</w:t>
            </w:r>
          </w:p>
        </w:tc>
        <w:tc>
          <w:tcPr>
            <w:tcW w:w="493" w:type="dxa"/>
          </w:tcPr>
          <w:p w14:paraId="2F59914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1A26B69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vizează:</w:t>
            </w:r>
          </w:p>
          <w:p w14:paraId="5A36C2D9" w14:textId="77777777" w:rsidR="00EB3FCB" w:rsidRPr="00D973E7" w:rsidRDefault="00EB3FCB" w:rsidP="00EB3FCB">
            <w:pPr>
              <w:pStyle w:val="ListParagraph"/>
              <w:numPr>
                <w:ilvl w:val="0"/>
                <w:numId w:val="3"/>
              </w:numPr>
              <w:spacing w:after="120"/>
              <w:jc w:val="both"/>
              <w:rPr>
                <w:sz w:val="20"/>
              </w:rPr>
            </w:pPr>
            <w:r w:rsidRPr="00D973E7">
              <w:rPr>
                <w:sz w:val="20"/>
              </w:rPr>
              <w:t>Construirea de locuințe pentru tineri/locuințe sociale/ locuințe de necesitate/ locuințe pentru specialiști din sănătate și învățământ;</w:t>
            </w:r>
          </w:p>
          <w:p w14:paraId="01DDE770" w14:textId="77777777" w:rsidR="00EB3FCB" w:rsidRPr="00D973E7" w:rsidRDefault="00EB3FCB" w:rsidP="00EB3FCB">
            <w:pPr>
              <w:pStyle w:val="ListParagraph"/>
              <w:numPr>
                <w:ilvl w:val="0"/>
                <w:numId w:val="3"/>
              </w:numPr>
              <w:spacing w:after="120"/>
              <w:jc w:val="both"/>
              <w:rPr>
                <w:sz w:val="20"/>
              </w:rPr>
            </w:pPr>
            <w:r w:rsidRPr="00D973E7">
              <w:rPr>
                <w:sz w:val="20"/>
              </w:rPr>
              <w:t>Mobilitatea urbană durabilă - Schimbarea parcului de vehicule destinate transportului public (achiziția de vehicule curate);</w:t>
            </w:r>
          </w:p>
          <w:p w14:paraId="390456AE" w14:textId="77777777" w:rsidR="00EB3FCB" w:rsidRPr="00D973E7" w:rsidRDefault="00EB3FCB" w:rsidP="00EB3FCB">
            <w:pPr>
              <w:pStyle w:val="ListParagraph"/>
              <w:numPr>
                <w:ilvl w:val="0"/>
                <w:numId w:val="3"/>
              </w:numPr>
              <w:spacing w:after="120"/>
              <w:jc w:val="both"/>
              <w:rPr>
                <w:sz w:val="20"/>
              </w:rPr>
            </w:pPr>
            <w:r w:rsidRPr="00D973E7">
              <w:rPr>
                <w:sz w:val="20"/>
              </w:rPr>
              <w:t>Mobilitatea urbană durabilă - Asigurarea infrastructurii pentru transportul verde – ITS;</w:t>
            </w:r>
          </w:p>
          <w:p w14:paraId="767E2461" w14:textId="77777777" w:rsidR="00EB3FCB" w:rsidRPr="00D973E7" w:rsidRDefault="00EB3FCB" w:rsidP="00EB3FCB">
            <w:pPr>
              <w:pStyle w:val="ListParagraph"/>
              <w:numPr>
                <w:ilvl w:val="0"/>
                <w:numId w:val="3"/>
              </w:numPr>
              <w:spacing w:after="120"/>
              <w:jc w:val="both"/>
              <w:rPr>
                <w:sz w:val="20"/>
              </w:rPr>
            </w:pPr>
            <w:r w:rsidRPr="00D973E7">
              <w:rPr>
                <w:sz w:val="20"/>
              </w:rPr>
              <w:t>Mobilitatea urbană durabilă - Asigurarea infrastructurii pentru transportul verde - stații de încărcare vehicule electrice;</w:t>
            </w:r>
          </w:p>
          <w:p w14:paraId="6046A5E8" w14:textId="77777777" w:rsidR="00EB3FCB" w:rsidRPr="00D973E7" w:rsidRDefault="00EB3FCB" w:rsidP="00EB3FCB">
            <w:pPr>
              <w:pStyle w:val="ListParagraph"/>
              <w:numPr>
                <w:ilvl w:val="0"/>
                <w:numId w:val="3"/>
              </w:numPr>
              <w:spacing w:after="120"/>
              <w:jc w:val="both"/>
              <w:rPr>
                <w:sz w:val="20"/>
              </w:rPr>
            </w:pPr>
            <w:r w:rsidRPr="00D973E7">
              <w:rPr>
                <w:sz w:val="20"/>
              </w:rPr>
              <w:t>Mobilitatea urbană durabilă - Asigurarea infrastructurii pentru biciclete.</w:t>
            </w:r>
          </w:p>
          <w:p w14:paraId="11579B1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indirecte, prin activitățile sprijinite de sub-măsurile propuse se urmărește în principal regenerarea și revitalizarea spațiilor publice urbane, prin construirea și modernizarea  de zone și trasee  pietonale, spații verzi.</w:t>
            </w:r>
          </w:p>
          <w:p w14:paraId="68E6553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Proiectele de mobilitate verde se încadrează la domeniul de intervenție 077 - Infrastructuri pentru combustibili alternativi, 074 – Material rulant de transport urban curat, 075 – Infrastructuri pentru mersul pe bicicleta și 073 - Infrastructuri de transporturi urbane curate din anexa VI la Regulamentul (UE) nr. 2021/241, cu un coeficient al schimbărilor climatice de 100 %, susținând trecerea la o economie neutră din punct de vedere climatic.</w:t>
            </w:r>
          </w:p>
          <w:p w14:paraId="6760FDB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lastRenderedPageBreak/>
              <w:t>În ceea ce privește efectele directe, în cadrul procesului de construcție a infrastructurii se va avea în vedere utilizarea de materiale și practici care să nu conducă la o creștere semnificativă de poluați în aer.</w:t>
            </w:r>
          </w:p>
          <w:p w14:paraId="0EF25FA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va fi realizata având în vedere cele mai bune practici cu privire la eficiența energetică a echipamentelor utilizate și managementul energiei.</w:t>
            </w:r>
          </w:p>
          <w:p w14:paraId="034C3B0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se consideră că nu există impact semnificativ negativ asupra acestui obiectiv de mediu.</w:t>
            </w:r>
          </w:p>
        </w:tc>
      </w:tr>
      <w:tr w:rsidR="00EB3FCB" w:rsidRPr="00D973E7" w14:paraId="44D41D29" w14:textId="77777777" w:rsidTr="008E5146">
        <w:tc>
          <w:tcPr>
            <w:tcW w:w="3399" w:type="dxa"/>
          </w:tcPr>
          <w:p w14:paraId="7DBC4AFC" w14:textId="77777777" w:rsidR="00EB3FCB" w:rsidRPr="00D973E7" w:rsidRDefault="00EB3FCB" w:rsidP="008E5146">
            <w:pPr>
              <w:spacing w:after="120"/>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lastRenderedPageBreak/>
              <w:t xml:space="preserve">Climate change adaptation: </w:t>
            </w:r>
            <w:r w:rsidRPr="00D973E7">
              <w:rPr>
                <w:rFonts w:ascii="Times New Roman" w:hAnsi="Times New Roman" w:cs="Times New Roman"/>
                <w:sz w:val="20"/>
              </w:rPr>
              <w:t>Is the measure expected to lead to an increased adverse impact of the current climate and the expected future climate, on the measure itself or on people, nature or assets?</w:t>
            </w:r>
          </w:p>
        </w:tc>
        <w:tc>
          <w:tcPr>
            <w:tcW w:w="493" w:type="dxa"/>
          </w:tcPr>
          <w:p w14:paraId="3B95A6A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772706F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Prin investițiile propuse se sprijină infrastructura verde, contribuind astfel la creșterea adaptării la schimbările climatice.</w:t>
            </w:r>
          </w:p>
          <w:p w14:paraId="2F42472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vor respecta inclusiv prevederile Ghidului privind planificarea urbană pentru limitarea şi combaterea schimbărilor climatice şi a expansiunii urbane necontrolate (propus a fi elaborat și aprobat în cadrul R1.3).</w:t>
            </w:r>
          </w:p>
          <w:p w14:paraId="1CB1A4D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intervențiile care presupun reabilitare, se va avea în vedere creșterea calității vieții, alături de creșterea gradului de infrastructură verde disponibilă la nivelul orașului.</w:t>
            </w:r>
          </w:p>
          <w:p w14:paraId="660D08D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activitățile unde este aplicabil, se vor efectua analize de risc climatic și de vulnerabilitate, iar soluțiile de adaptare rezultate ulterior derulării acestor analize vor fi implementate la nivelul măsurilor aferente investițiilor.</w:t>
            </w:r>
          </w:p>
          <w:p w14:paraId="1D1835C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investiția, pe parcursul întregului său ciclu de viață nu contribuie la creșterea efectului negativ al climatului actual și al climatului preconizat, nu are niciun impact previzibil asupra acestui obiectiv de mediu..</w:t>
            </w:r>
          </w:p>
        </w:tc>
      </w:tr>
      <w:tr w:rsidR="00EB3FCB" w:rsidRPr="00D973E7" w14:paraId="3FD8390F" w14:textId="77777777" w:rsidTr="008E5146">
        <w:tc>
          <w:tcPr>
            <w:tcW w:w="3399" w:type="dxa"/>
          </w:tcPr>
          <w:p w14:paraId="186F902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color w:val="000000"/>
                <w:sz w:val="20"/>
                <w:shd w:val="clear" w:color="auto" w:fill="FFFFFF"/>
              </w:rPr>
              <w:t xml:space="preserve">The transition to a circular economy, including waste prevention and recycling: </w:t>
            </w:r>
            <w:r w:rsidRPr="00D973E7">
              <w:rPr>
                <w:rFonts w:ascii="Times New Roman" w:hAnsi="Times New Roman" w:cs="Times New Roman"/>
                <w:sz w:val="20"/>
              </w:rPr>
              <w:t>Is the measure expected to:</w:t>
            </w:r>
          </w:p>
          <w:p w14:paraId="0AF8FA7D" w14:textId="77777777" w:rsidR="00EB3FCB" w:rsidRPr="00D973E7" w:rsidRDefault="00EB3FCB" w:rsidP="00EB3FCB">
            <w:pPr>
              <w:pStyle w:val="ListParagraph"/>
              <w:numPr>
                <w:ilvl w:val="0"/>
                <w:numId w:val="1"/>
              </w:numPr>
              <w:spacing w:after="120"/>
              <w:jc w:val="both"/>
              <w:rPr>
                <w:sz w:val="20"/>
              </w:rPr>
            </w:pPr>
            <w:r w:rsidRPr="00D973E7">
              <w:rPr>
                <w:sz w:val="20"/>
              </w:rPr>
              <w:t>lead to a significant increase in the generation, incineration or disposal of waste, with the exception of the incineration of non-recyclable hazardous waste; or</w:t>
            </w:r>
          </w:p>
          <w:p w14:paraId="0CAE3F3E" w14:textId="77777777" w:rsidR="00EB3FCB" w:rsidRPr="00D973E7" w:rsidRDefault="00EB3FCB" w:rsidP="00EB3FCB">
            <w:pPr>
              <w:pStyle w:val="ListParagraph"/>
              <w:numPr>
                <w:ilvl w:val="0"/>
                <w:numId w:val="1"/>
              </w:numPr>
              <w:spacing w:after="120"/>
              <w:jc w:val="both"/>
              <w:rPr>
                <w:sz w:val="20"/>
              </w:rPr>
            </w:pPr>
            <w:r w:rsidRPr="00D973E7">
              <w:rPr>
                <w:sz w:val="20"/>
              </w:rPr>
              <w:t>lead to significant inefficiencies in the direct or indirect use of any natural resource at any stage of its life cycle which are not minimised by adequate measures; or</w:t>
            </w:r>
          </w:p>
          <w:p w14:paraId="13BCD8FC" w14:textId="77777777" w:rsidR="00EB3FCB" w:rsidRPr="00D973E7" w:rsidRDefault="00EB3FCB" w:rsidP="00EB3FCB">
            <w:pPr>
              <w:pStyle w:val="ListParagraph"/>
              <w:numPr>
                <w:ilvl w:val="0"/>
                <w:numId w:val="1"/>
              </w:numPr>
              <w:spacing w:after="120"/>
              <w:jc w:val="both"/>
              <w:rPr>
                <w:sz w:val="20"/>
              </w:rPr>
            </w:pPr>
            <w:r w:rsidRPr="00D973E7">
              <w:rPr>
                <w:color w:val="000000" w:themeColor="text1"/>
                <w:sz w:val="20"/>
              </w:rPr>
              <w:t>cause significant and long-term harm to the environment in respect to the circular economy? </w:t>
            </w:r>
          </w:p>
        </w:tc>
        <w:tc>
          <w:tcPr>
            <w:tcW w:w="493" w:type="dxa"/>
          </w:tcPr>
          <w:p w14:paraId="4EDCFC8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0ECFF39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5AC01AE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16D4FB3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03B64B05"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Totodată, la sfârșitul duratei de viață  a echipamengtelor se va avea în vedere respectarea prevederilor Anexei VII la Directiva 2012/19 / UE.</w:t>
            </w:r>
          </w:p>
          <w:p w14:paraId="0368B0B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În același timp, investițiile au impact previzibil nesemnificativ asupra creșterii semnificative a generării, a incinerării sau a eliminării deșeurilor. </w:t>
            </w:r>
          </w:p>
          <w:p w14:paraId="62505BA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lastRenderedPageBreak/>
              <w:t>Astfel, investițiile au un impact previzibil nesemnificativ asupra acestui obiectiv de mediu.</w:t>
            </w:r>
          </w:p>
        </w:tc>
      </w:tr>
      <w:tr w:rsidR="00EB3FCB" w:rsidRPr="00D973E7" w14:paraId="5E2C9E66" w14:textId="77777777" w:rsidTr="008E5146">
        <w:tc>
          <w:tcPr>
            <w:tcW w:w="3399" w:type="dxa"/>
          </w:tcPr>
          <w:p w14:paraId="6511BACE" w14:textId="77777777" w:rsidR="00EB3FCB" w:rsidRPr="00D973E7" w:rsidRDefault="00EB3FCB" w:rsidP="008E5146">
            <w:pPr>
              <w:spacing w:after="120"/>
              <w:jc w:val="both"/>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lastRenderedPageBreak/>
              <w:t xml:space="preserve">Pollution prevention and control: </w:t>
            </w:r>
            <w:r w:rsidRPr="00D973E7">
              <w:rPr>
                <w:rFonts w:ascii="Times New Roman" w:hAnsi="Times New Roman" w:cs="Times New Roman"/>
                <w:sz w:val="20"/>
              </w:rPr>
              <w:t>Is the measure expected to lead to a significant increase in the emissions of pollutants into air, water or land?</w:t>
            </w:r>
          </w:p>
        </w:tc>
        <w:tc>
          <w:tcPr>
            <w:tcW w:w="493" w:type="dxa"/>
          </w:tcPr>
          <w:p w14:paraId="7438602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31CE9B6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nu produce o creștere semnificativă a emisiilor de poluanți în aer, apă sau sol, nu are niciun impact previzibil asupra acestui obiectiv de mediu.</w:t>
            </w:r>
          </w:p>
        </w:tc>
      </w:tr>
    </w:tbl>
    <w:p w14:paraId="70C5A30B" w14:textId="77777777" w:rsidR="00EB3FCB" w:rsidRPr="00D973E7" w:rsidRDefault="00EB3FCB" w:rsidP="00EB3FCB">
      <w:pPr>
        <w:rPr>
          <w:rFonts w:ascii="Times New Roman" w:hAnsi="Times New Roman" w:cs="Times New Roman"/>
          <w:b/>
          <w:bCs/>
          <w:sz w:val="20"/>
          <w:szCs w:val="20"/>
        </w:rPr>
      </w:pPr>
    </w:p>
    <w:p w14:paraId="690CBDBA"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I.2. Intervenții pentru tranziția verde și digitală în municipii, altele decât cele reședință de județ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1B3E23C2" w14:textId="77777777" w:rsidTr="008E5146">
        <w:trPr>
          <w:tblHeader/>
        </w:trPr>
        <w:tc>
          <w:tcPr>
            <w:tcW w:w="3403" w:type="dxa"/>
          </w:tcPr>
          <w:p w14:paraId="28D77598"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6CC706B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2A593A54"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3C1F63A2"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42DBF3CE" w14:textId="77777777" w:rsidTr="008E5146">
        <w:tc>
          <w:tcPr>
            <w:tcW w:w="3403" w:type="dxa"/>
          </w:tcPr>
          <w:p w14:paraId="39EE7E27"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0D6A6C3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46C76AB4"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6B554F9C"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3F9BD6CB" w14:textId="77777777" w:rsidTr="008E5146">
        <w:tc>
          <w:tcPr>
            <w:tcW w:w="3403" w:type="dxa"/>
          </w:tcPr>
          <w:p w14:paraId="0B25017A"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25B65E6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050F215"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1C63E6D9" w14:textId="77777777" w:rsidR="00EB3FCB" w:rsidRPr="00D973E7" w:rsidRDefault="00EB3FCB" w:rsidP="008E5146">
            <w:pPr>
              <w:spacing w:after="120"/>
              <w:ind w:left="90"/>
              <w:jc w:val="both"/>
              <w:rPr>
                <w:rFonts w:ascii="Times New Roman" w:hAnsi="Times New Roman" w:cs="Times New Roman"/>
                <w:sz w:val="20"/>
                <w:szCs w:val="20"/>
              </w:rPr>
            </w:pPr>
          </w:p>
        </w:tc>
      </w:tr>
      <w:tr w:rsidR="00EB3FCB" w:rsidRPr="00D973E7" w14:paraId="3409B7F1" w14:textId="77777777" w:rsidTr="008E5146">
        <w:tc>
          <w:tcPr>
            <w:tcW w:w="3403" w:type="dxa"/>
          </w:tcPr>
          <w:p w14:paraId="588BF9EB"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0CFF93DA"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3D7BFC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6E4135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pe  parcursul întregului său ciclu de viață nu este nocivă pentru starea bună sau pentru potențialul ecologic bun al corpurilor de apă, prin urmare  nu  are niciun impact previzibil asupra acestui obiectiv de mediu.</w:t>
            </w:r>
          </w:p>
          <w:p w14:paraId="36C80F8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EB3FCB" w:rsidRPr="00D973E7" w14:paraId="1DEEB576" w14:textId="77777777" w:rsidTr="008E5146">
        <w:tc>
          <w:tcPr>
            <w:tcW w:w="3403" w:type="dxa"/>
          </w:tcPr>
          <w:p w14:paraId="73E26DF7"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50A19FA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375C9EA"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38CFFB76"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384F1C74" w14:textId="77777777" w:rsidTr="008E5146">
        <w:tc>
          <w:tcPr>
            <w:tcW w:w="3403" w:type="dxa"/>
          </w:tcPr>
          <w:p w14:paraId="69B4304E"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40AE024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E99D40D"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1E68DF66"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6EA70BED" w14:textId="77777777" w:rsidTr="008E5146">
        <w:tc>
          <w:tcPr>
            <w:tcW w:w="3403" w:type="dxa"/>
          </w:tcPr>
          <w:p w14:paraId="4E036428"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73264073"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D83678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527614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investiții nu vizează zone sensibile din perspectiva biodiversității și a ecosistemelor (Natura 2000, Patrimoniul UNESCO sau alte zone protejate) și nu au impact previzibil asupra acestui obiectiv de mediu.</w:t>
            </w:r>
          </w:p>
          <w:p w14:paraId="62CD078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tc>
      </w:tr>
    </w:tbl>
    <w:p w14:paraId="1981784A" w14:textId="77777777" w:rsidR="00EB3FCB" w:rsidRPr="00D973E7" w:rsidRDefault="00EB3FCB" w:rsidP="00EB3FCB">
      <w:pPr>
        <w:rPr>
          <w:rFonts w:ascii="Times New Roman" w:hAnsi="Times New Roman" w:cs="Times New Roman"/>
          <w:b/>
          <w:bCs/>
          <w:sz w:val="20"/>
          <w:szCs w:val="20"/>
        </w:rPr>
      </w:pPr>
    </w:p>
    <w:tbl>
      <w:tblPr>
        <w:tblStyle w:val="TableGrid"/>
        <w:tblW w:w="9249" w:type="dxa"/>
        <w:tblLook w:val="04A0" w:firstRow="1" w:lastRow="0" w:firstColumn="1" w:lastColumn="0" w:noHBand="0" w:noVBand="1"/>
      </w:tblPr>
      <w:tblGrid>
        <w:gridCol w:w="3399"/>
        <w:gridCol w:w="493"/>
        <w:gridCol w:w="5357"/>
      </w:tblGrid>
      <w:tr w:rsidR="00EB3FCB" w:rsidRPr="00D973E7" w14:paraId="08A8D053" w14:textId="77777777" w:rsidTr="008E5146">
        <w:tc>
          <w:tcPr>
            <w:tcW w:w="3399" w:type="dxa"/>
          </w:tcPr>
          <w:p w14:paraId="16F065A9"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sz w:val="20"/>
              </w:rPr>
              <w:t>Questions</w:t>
            </w:r>
          </w:p>
        </w:tc>
        <w:tc>
          <w:tcPr>
            <w:tcW w:w="493" w:type="dxa"/>
          </w:tcPr>
          <w:p w14:paraId="1F78AF6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No</w:t>
            </w:r>
          </w:p>
        </w:tc>
        <w:tc>
          <w:tcPr>
            <w:tcW w:w="5357" w:type="dxa"/>
          </w:tcPr>
          <w:p w14:paraId="73EDE64B"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Substantive justification</w:t>
            </w:r>
          </w:p>
        </w:tc>
      </w:tr>
      <w:tr w:rsidR="00EB3FCB" w:rsidRPr="00D973E7" w14:paraId="089AAD0F" w14:textId="77777777" w:rsidTr="008E5146">
        <w:tc>
          <w:tcPr>
            <w:tcW w:w="3399" w:type="dxa"/>
          </w:tcPr>
          <w:p w14:paraId="4F4CA40B"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color w:val="000000"/>
                <w:sz w:val="20"/>
                <w:shd w:val="clear" w:color="auto" w:fill="FFFFFF"/>
              </w:rPr>
              <w:t>Climate change mitigation</w:t>
            </w:r>
            <w:r w:rsidRPr="00D973E7">
              <w:rPr>
                <w:rFonts w:ascii="Times New Roman" w:hAnsi="Times New Roman" w:cs="Times New Roman"/>
                <w:color w:val="000000"/>
                <w:sz w:val="20"/>
                <w:shd w:val="clear" w:color="auto" w:fill="FFFFFF"/>
              </w:rPr>
              <w:t>: Is the measure expected to lead to significant GHG emissions?</w:t>
            </w:r>
          </w:p>
        </w:tc>
        <w:tc>
          <w:tcPr>
            <w:tcW w:w="493" w:type="dxa"/>
          </w:tcPr>
          <w:p w14:paraId="4A3E140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4A946A0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vizează:</w:t>
            </w:r>
          </w:p>
          <w:p w14:paraId="3AB45B92" w14:textId="77777777" w:rsidR="00EB3FCB" w:rsidRPr="00D973E7" w:rsidRDefault="00EB3FCB" w:rsidP="00EB3FCB">
            <w:pPr>
              <w:pStyle w:val="ListParagraph"/>
              <w:numPr>
                <w:ilvl w:val="0"/>
                <w:numId w:val="4"/>
              </w:numPr>
              <w:spacing w:after="120"/>
              <w:jc w:val="both"/>
              <w:rPr>
                <w:sz w:val="20"/>
              </w:rPr>
            </w:pPr>
            <w:r w:rsidRPr="00D973E7">
              <w:rPr>
                <w:sz w:val="20"/>
              </w:rPr>
              <w:t>Construirea de locuințe pentru tineri/locuințe sociale/ locuințe de necesitate/ locuințe pentru specialiști din sănătate și învățământ;</w:t>
            </w:r>
          </w:p>
          <w:p w14:paraId="3429BF64" w14:textId="77777777" w:rsidR="00EB3FCB" w:rsidRPr="00D973E7" w:rsidRDefault="00EB3FCB" w:rsidP="00EB3FCB">
            <w:pPr>
              <w:pStyle w:val="ListParagraph"/>
              <w:numPr>
                <w:ilvl w:val="0"/>
                <w:numId w:val="4"/>
              </w:numPr>
              <w:spacing w:after="120"/>
              <w:jc w:val="both"/>
              <w:rPr>
                <w:sz w:val="20"/>
              </w:rPr>
            </w:pPr>
            <w:r w:rsidRPr="00D973E7">
              <w:rPr>
                <w:sz w:val="20"/>
              </w:rPr>
              <w:lastRenderedPageBreak/>
              <w:t>Mobilitatea urbană durabilă - Schimbarea parcului de vehicule destinate transportului public (achiziția de vehicule curate);</w:t>
            </w:r>
          </w:p>
          <w:p w14:paraId="40A02084" w14:textId="77777777" w:rsidR="00EB3FCB" w:rsidRPr="00D973E7" w:rsidRDefault="00EB3FCB" w:rsidP="00EB3FCB">
            <w:pPr>
              <w:pStyle w:val="ListParagraph"/>
              <w:numPr>
                <w:ilvl w:val="0"/>
                <w:numId w:val="4"/>
              </w:numPr>
              <w:spacing w:after="120"/>
              <w:jc w:val="both"/>
              <w:rPr>
                <w:sz w:val="20"/>
              </w:rPr>
            </w:pPr>
            <w:r w:rsidRPr="00D973E7">
              <w:rPr>
                <w:sz w:val="20"/>
              </w:rPr>
              <w:t>Mobilitatea urbană durabilă - Asigurarea infrastructurii pentru transportul verde – ITS;</w:t>
            </w:r>
          </w:p>
          <w:p w14:paraId="5A0C42D7" w14:textId="77777777" w:rsidR="00EB3FCB" w:rsidRPr="00D973E7" w:rsidRDefault="00EB3FCB" w:rsidP="00EB3FCB">
            <w:pPr>
              <w:pStyle w:val="ListParagraph"/>
              <w:numPr>
                <w:ilvl w:val="0"/>
                <w:numId w:val="4"/>
              </w:numPr>
              <w:spacing w:after="120"/>
              <w:jc w:val="both"/>
              <w:rPr>
                <w:sz w:val="20"/>
              </w:rPr>
            </w:pPr>
            <w:r w:rsidRPr="00D973E7">
              <w:rPr>
                <w:sz w:val="20"/>
              </w:rPr>
              <w:t>Mobilitatea urbană durabilă - Asigurarea infrastructurii pentru transportul verde - stații de încărcare vehicule electrice;</w:t>
            </w:r>
          </w:p>
          <w:p w14:paraId="236D189C" w14:textId="77777777" w:rsidR="00EB3FCB" w:rsidRPr="00D973E7" w:rsidRDefault="00EB3FCB" w:rsidP="00EB3FCB">
            <w:pPr>
              <w:pStyle w:val="ListParagraph"/>
              <w:numPr>
                <w:ilvl w:val="0"/>
                <w:numId w:val="4"/>
              </w:numPr>
              <w:spacing w:after="120"/>
              <w:jc w:val="both"/>
              <w:rPr>
                <w:sz w:val="20"/>
              </w:rPr>
            </w:pPr>
            <w:r w:rsidRPr="00D973E7">
              <w:rPr>
                <w:sz w:val="20"/>
              </w:rPr>
              <w:t>Mobilitatea urbană durabilă - Asigurarea infrastructurii pentru biciclete.</w:t>
            </w:r>
          </w:p>
          <w:p w14:paraId="2B55DEBB"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indirecte, prin activitățile sprijinite de sub-măsurile propuse se urmărește în principal regenerarea și revitalizarea spațiilor publice urbane, prin construirea și modernizarea  de zone și trasee  pietonale, spații verzi.</w:t>
            </w:r>
          </w:p>
          <w:p w14:paraId="184E7F6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Proiectele de mobilitate verde se încadrează la domeniul de intervenție 077 - Infrastructuri pentru combustibili alternativi, 074 – Material rulant de transport urban curat, 075 – Infrastructuri pentru mersul pe bicicleta și 073 - Infrastructuri de transporturi urbane curate din anexa VI la Regulamentul (UE) nr. 2021/241, cu un coeficient al schimbărilor climatice de 100 %, susținând trecerea la o economie neutră din punct de vedere climatic.</w:t>
            </w:r>
          </w:p>
          <w:p w14:paraId="167A799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directe, în cadrul procesului de construcție a infrastructurii se va avea în vedere utilizarea de materiale și practici care să nu conducă la o creștere semnificativă de poluați în aer.</w:t>
            </w:r>
          </w:p>
          <w:p w14:paraId="73979AA0"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va fi realizata având în vedere cele mai bune practici cu privire la eficiența energetică a echipamentelor utilizate și managementul energiei.</w:t>
            </w:r>
          </w:p>
          <w:p w14:paraId="1A13E73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se consideră că nu există impact semnificativ negativ asupra acestui obiectiv de mediu.</w:t>
            </w:r>
          </w:p>
        </w:tc>
      </w:tr>
      <w:tr w:rsidR="00EB3FCB" w:rsidRPr="00D973E7" w14:paraId="6AC12F29" w14:textId="77777777" w:rsidTr="008E5146">
        <w:tc>
          <w:tcPr>
            <w:tcW w:w="3399" w:type="dxa"/>
          </w:tcPr>
          <w:p w14:paraId="30EDDE22" w14:textId="77777777" w:rsidR="00EB3FCB" w:rsidRPr="00D973E7" w:rsidRDefault="00EB3FCB" w:rsidP="008E5146">
            <w:pPr>
              <w:spacing w:after="120"/>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lastRenderedPageBreak/>
              <w:t xml:space="preserve">Climate change adaptation: </w:t>
            </w:r>
            <w:r w:rsidRPr="00D973E7">
              <w:rPr>
                <w:rFonts w:ascii="Times New Roman" w:hAnsi="Times New Roman" w:cs="Times New Roman"/>
                <w:sz w:val="20"/>
              </w:rPr>
              <w:t>Is the measure expected to lead to an increased adverse impact of the current climate and the expected future climate, on the measure itself or on people, nature or assets?</w:t>
            </w:r>
          </w:p>
        </w:tc>
        <w:tc>
          <w:tcPr>
            <w:tcW w:w="493" w:type="dxa"/>
          </w:tcPr>
          <w:p w14:paraId="306F955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43C12663"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Prin investițiile propuse se sprijină infrastructura verde, contribuind astfel la creșterea adaptării la schimbările climatice.</w:t>
            </w:r>
          </w:p>
          <w:p w14:paraId="63EA8080"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vor respecta inclusiv prevederile Ghidului privind planificarea urbană pentru limitarea şi combaterea schimbărilor climatice şi a expansiunii urbane necontrolate (propus a fi elaborat și aprobat în cadrul R1.3).</w:t>
            </w:r>
          </w:p>
          <w:p w14:paraId="365094DA"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intervențiile care presupun reabilitare, se va avea în vedere creșterea calității vieții, alături de creșterea gradului de infrastructură verde disponibilă la nivelul orașului.</w:t>
            </w:r>
          </w:p>
          <w:p w14:paraId="4C6B4DAE"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activitățile unde este aplicabil, se vor efectua analize de risc climatic și de vulnerabilitate, iar soluțiile de adaptare rezultate ulterior derulării acestor analize vor fi implementate la nivelul măsurilor aferente investițiilor.</w:t>
            </w:r>
          </w:p>
          <w:p w14:paraId="4B8FE7E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investiția, pe parcursul întregului său ciclu de viață nu contribuie la creșterea efectului negativ al climatului actual și al climatului preconizat, nu are niciun impact previzibil asupra acestui obiectiv de mediu..</w:t>
            </w:r>
          </w:p>
        </w:tc>
      </w:tr>
      <w:tr w:rsidR="00EB3FCB" w:rsidRPr="00D973E7" w14:paraId="001893B4" w14:textId="77777777" w:rsidTr="008E5146">
        <w:tc>
          <w:tcPr>
            <w:tcW w:w="3399" w:type="dxa"/>
          </w:tcPr>
          <w:p w14:paraId="103B1D5A"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color w:val="000000"/>
                <w:sz w:val="20"/>
                <w:shd w:val="clear" w:color="auto" w:fill="FFFFFF"/>
              </w:rPr>
              <w:lastRenderedPageBreak/>
              <w:t xml:space="preserve">The transition to a circular economy, including waste prevention and recycling: </w:t>
            </w:r>
            <w:r w:rsidRPr="00D973E7">
              <w:rPr>
                <w:rFonts w:ascii="Times New Roman" w:hAnsi="Times New Roman" w:cs="Times New Roman"/>
                <w:sz w:val="20"/>
              </w:rPr>
              <w:t>Is the measure expected to:</w:t>
            </w:r>
          </w:p>
          <w:p w14:paraId="46E1B6EC" w14:textId="77777777" w:rsidR="00EB3FCB" w:rsidRPr="00D973E7" w:rsidRDefault="00EB3FCB" w:rsidP="00EB3FCB">
            <w:pPr>
              <w:pStyle w:val="ListParagraph"/>
              <w:numPr>
                <w:ilvl w:val="0"/>
                <w:numId w:val="1"/>
              </w:numPr>
              <w:spacing w:after="120"/>
              <w:jc w:val="both"/>
              <w:rPr>
                <w:sz w:val="20"/>
              </w:rPr>
            </w:pPr>
            <w:r w:rsidRPr="00D973E7">
              <w:rPr>
                <w:sz w:val="20"/>
              </w:rPr>
              <w:t>lead to a significant increase in the generation, incineration or disposal of waste, with the exception of the incineration of non-recyclable hazardous waste; or</w:t>
            </w:r>
          </w:p>
          <w:p w14:paraId="5C336289" w14:textId="77777777" w:rsidR="00EB3FCB" w:rsidRPr="00D973E7" w:rsidRDefault="00EB3FCB" w:rsidP="00EB3FCB">
            <w:pPr>
              <w:pStyle w:val="ListParagraph"/>
              <w:numPr>
                <w:ilvl w:val="0"/>
                <w:numId w:val="1"/>
              </w:numPr>
              <w:spacing w:after="120"/>
              <w:jc w:val="both"/>
              <w:rPr>
                <w:sz w:val="20"/>
              </w:rPr>
            </w:pPr>
            <w:r w:rsidRPr="00D973E7">
              <w:rPr>
                <w:sz w:val="20"/>
              </w:rPr>
              <w:t>lead to significant inefficiencies in the direct or indirect use of any natural resource at any stage of its life cycle which are not minimised by adequate measures; or</w:t>
            </w:r>
          </w:p>
          <w:p w14:paraId="3A5803B4" w14:textId="77777777" w:rsidR="00EB3FCB" w:rsidRPr="00D973E7" w:rsidRDefault="00EB3FCB" w:rsidP="00EB3FCB">
            <w:pPr>
              <w:pStyle w:val="ListParagraph"/>
              <w:numPr>
                <w:ilvl w:val="0"/>
                <w:numId w:val="1"/>
              </w:numPr>
              <w:spacing w:after="120"/>
              <w:jc w:val="both"/>
              <w:rPr>
                <w:sz w:val="20"/>
              </w:rPr>
            </w:pPr>
            <w:r w:rsidRPr="00D973E7">
              <w:rPr>
                <w:color w:val="000000" w:themeColor="text1"/>
                <w:sz w:val="20"/>
              </w:rPr>
              <w:t>cause significant and long-term harm to the environment in respect to the circular economy? </w:t>
            </w:r>
          </w:p>
        </w:tc>
        <w:tc>
          <w:tcPr>
            <w:tcW w:w="493" w:type="dxa"/>
          </w:tcPr>
          <w:p w14:paraId="5D92D360"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64C3F28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4C3CDB8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55BF58E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28C2AE53"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Totodată, la sfârșitul duratei de viață  a echipamengtelor se va avea în vedere respectarea prevederilor Anexei VII la Directiva 2012/19 / UE.</w:t>
            </w:r>
          </w:p>
          <w:p w14:paraId="4FA66B2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În același timp, investițiile au impact previzibil nesemnificativ asupra creșterii semnificative a generării, a incinerării sau a eliminării deșeurilor. </w:t>
            </w:r>
          </w:p>
          <w:p w14:paraId="3E69E8E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investițiile au un impact previzibil nesemnificativ asupra acestui obiectiv de mediu.</w:t>
            </w:r>
          </w:p>
        </w:tc>
      </w:tr>
      <w:tr w:rsidR="00EB3FCB" w:rsidRPr="00D973E7" w14:paraId="7B8C6592" w14:textId="77777777" w:rsidTr="008E5146">
        <w:tc>
          <w:tcPr>
            <w:tcW w:w="3399" w:type="dxa"/>
          </w:tcPr>
          <w:p w14:paraId="49E71331" w14:textId="77777777" w:rsidR="00EB3FCB" w:rsidRPr="00D973E7" w:rsidRDefault="00EB3FCB" w:rsidP="008E5146">
            <w:pPr>
              <w:spacing w:after="120"/>
              <w:jc w:val="both"/>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t xml:space="preserve">Pollution prevention and control: </w:t>
            </w:r>
            <w:r w:rsidRPr="00D973E7">
              <w:rPr>
                <w:rFonts w:ascii="Times New Roman" w:hAnsi="Times New Roman" w:cs="Times New Roman"/>
                <w:sz w:val="20"/>
              </w:rPr>
              <w:t>Is the measure expected to lead to a significant increase in the emissions of pollutants into air, water or land?</w:t>
            </w:r>
          </w:p>
        </w:tc>
        <w:tc>
          <w:tcPr>
            <w:tcW w:w="493" w:type="dxa"/>
          </w:tcPr>
          <w:p w14:paraId="40D81E7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3E1660C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nu produce o creștere semnificativă a emisiilor de poluanți în aer, apă sau sol, nu are niciun impact previzibil asupra acestui obiectiv de mediu.</w:t>
            </w:r>
          </w:p>
        </w:tc>
      </w:tr>
    </w:tbl>
    <w:p w14:paraId="54218EB8" w14:textId="77777777" w:rsidR="00EB3FCB" w:rsidRPr="00D973E7" w:rsidRDefault="00EB3FCB" w:rsidP="00EB3FCB">
      <w:pPr>
        <w:rPr>
          <w:rFonts w:ascii="Times New Roman" w:hAnsi="Times New Roman" w:cs="Times New Roman"/>
          <w:b/>
          <w:bCs/>
          <w:sz w:val="20"/>
          <w:szCs w:val="20"/>
        </w:rPr>
      </w:pPr>
    </w:p>
    <w:p w14:paraId="50CC1AF9"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I.3. Intervenții pentru tranziția verde și digitală în orașe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6129E279" w14:textId="77777777" w:rsidTr="008E5146">
        <w:trPr>
          <w:tblHeader/>
        </w:trPr>
        <w:tc>
          <w:tcPr>
            <w:tcW w:w="3403" w:type="dxa"/>
          </w:tcPr>
          <w:p w14:paraId="413397CD"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7353690A"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61F18F1B"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0B0BDCFF"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18F3996B" w14:textId="77777777" w:rsidTr="008E5146">
        <w:tc>
          <w:tcPr>
            <w:tcW w:w="3403" w:type="dxa"/>
          </w:tcPr>
          <w:p w14:paraId="1EE232D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66C6529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15BC39F"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186C9743"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0D5A01D3" w14:textId="77777777" w:rsidTr="008E5146">
        <w:tc>
          <w:tcPr>
            <w:tcW w:w="3403" w:type="dxa"/>
          </w:tcPr>
          <w:p w14:paraId="54515A90"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500C251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7CF8014D"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5156E347" w14:textId="77777777" w:rsidR="00EB3FCB" w:rsidRPr="00D973E7" w:rsidRDefault="00EB3FCB" w:rsidP="008E5146">
            <w:pPr>
              <w:spacing w:after="120"/>
              <w:ind w:left="90"/>
              <w:jc w:val="both"/>
              <w:rPr>
                <w:rFonts w:ascii="Times New Roman" w:hAnsi="Times New Roman" w:cs="Times New Roman"/>
                <w:sz w:val="20"/>
                <w:szCs w:val="20"/>
              </w:rPr>
            </w:pPr>
          </w:p>
        </w:tc>
      </w:tr>
      <w:tr w:rsidR="00EB3FCB" w:rsidRPr="00D973E7" w14:paraId="5ECDA740" w14:textId="77777777" w:rsidTr="008E5146">
        <w:tc>
          <w:tcPr>
            <w:tcW w:w="3403" w:type="dxa"/>
          </w:tcPr>
          <w:p w14:paraId="5104A5C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3A5806D4"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E0AB67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C0645E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pe  parcursul întregului său ciclu de viață nu este nocivă pentru starea bună sau pentru potențialul ecologic bun al corpurilor de apă, prin urmare  nu  are niciun impact previzibil asupra acestui obiectiv de mediu.</w:t>
            </w:r>
          </w:p>
          <w:p w14:paraId="77B4668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w:t>
            </w:r>
            <w:r w:rsidRPr="00D973E7">
              <w:rPr>
                <w:rFonts w:ascii="Times New Roman" w:hAnsi="Times New Roman" w:cs="Times New Roman"/>
                <w:sz w:val="20"/>
                <w:szCs w:val="20"/>
              </w:rPr>
              <w:lastRenderedPageBreak/>
              <w:t>apei, iar planul de management în domeniul protecției apei va fi dezvoltat pentru toate corpurile de apă potențial afectate, prin consultare cu actorii relevanți.</w:t>
            </w:r>
          </w:p>
        </w:tc>
      </w:tr>
      <w:tr w:rsidR="00EB3FCB" w:rsidRPr="00D973E7" w14:paraId="7EF1D3F8" w14:textId="77777777" w:rsidTr="008E5146">
        <w:tc>
          <w:tcPr>
            <w:tcW w:w="3403" w:type="dxa"/>
          </w:tcPr>
          <w:p w14:paraId="12961F3D"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The circular economy, including waste prevention and recycling</w:t>
            </w:r>
          </w:p>
        </w:tc>
        <w:tc>
          <w:tcPr>
            <w:tcW w:w="496" w:type="dxa"/>
          </w:tcPr>
          <w:p w14:paraId="24392A9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4023F557"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3E87E891"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29643FE0" w14:textId="77777777" w:rsidTr="008E5146">
        <w:tc>
          <w:tcPr>
            <w:tcW w:w="3403" w:type="dxa"/>
          </w:tcPr>
          <w:p w14:paraId="1E5DD45F"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10A8FCF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3DFDF310"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52628A66"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3F228843" w14:textId="77777777" w:rsidTr="008E5146">
        <w:tc>
          <w:tcPr>
            <w:tcW w:w="3403" w:type="dxa"/>
          </w:tcPr>
          <w:p w14:paraId="05F33F88"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5FD8FF00"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2BB7E7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DF052E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investiții nu vizează zone sensibile din perspectiva biodiversității și a ecosistemelor (Natura 2000, Patrimoniul UNESCO sau alte zone protejate) și nu au impact previzibil asupra acestui obiectiv de mediu.</w:t>
            </w:r>
          </w:p>
          <w:p w14:paraId="57AA664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tc>
      </w:tr>
    </w:tbl>
    <w:p w14:paraId="2AD23D58" w14:textId="77777777" w:rsidR="00EB3FCB" w:rsidRPr="00D973E7" w:rsidRDefault="00EB3FCB" w:rsidP="00EB3FCB">
      <w:pPr>
        <w:rPr>
          <w:rFonts w:ascii="Times New Roman" w:hAnsi="Times New Roman" w:cs="Times New Roman"/>
          <w:b/>
          <w:bCs/>
          <w:sz w:val="20"/>
          <w:szCs w:val="20"/>
        </w:rPr>
      </w:pPr>
    </w:p>
    <w:tbl>
      <w:tblPr>
        <w:tblStyle w:val="TableGrid"/>
        <w:tblW w:w="9249" w:type="dxa"/>
        <w:tblLook w:val="04A0" w:firstRow="1" w:lastRow="0" w:firstColumn="1" w:lastColumn="0" w:noHBand="0" w:noVBand="1"/>
      </w:tblPr>
      <w:tblGrid>
        <w:gridCol w:w="3399"/>
        <w:gridCol w:w="493"/>
        <w:gridCol w:w="5357"/>
      </w:tblGrid>
      <w:tr w:rsidR="00EB3FCB" w:rsidRPr="00D973E7" w14:paraId="7F046F30" w14:textId="77777777" w:rsidTr="008E5146">
        <w:tc>
          <w:tcPr>
            <w:tcW w:w="3399" w:type="dxa"/>
          </w:tcPr>
          <w:p w14:paraId="5E882BFD"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sz w:val="20"/>
              </w:rPr>
              <w:t>Questions</w:t>
            </w:r>
          </w:p>
        </w:tc>
        <w:tc>
          <w:tcPr>
            <w:tcW w:w="493" w:type="dxa"/>
          </w:tcPr>
          <w:p w14:paraId="290C6CA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No</w:t>
            </w:r>
          </w:p>
        </w:tc>
        <w:tc>
          <w:tcPr>
            <w:tcW w:w="5357" w:type="dxa"/>
          </w:tcPr>
          <w:p w14:paraId="5CB0A05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Substantive justification</w:t>
            </w:r>
          </w:p>
        </w:tc>
      </w:tr>
      <w:tr w:rsidR="00EB3FCB" w:rsidRPr="00D973E7" w14:paraId="1E224BBD" w14:textId="77777777" w:rsidTr="008E5146">
        <w:tc>
          <w:tcPr>
            <w:tcW w:w="3399" w:type="dxa"/>
          </w:tcPr>
          <w:p w14:paraId="682A841D"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color w:val="000000"/>
                <w:sz w:val="20"/>
                <w:shd w:val="clear" w:color="auto" w:fill="FFFFFF"/>
              </w:rPr>
              <w:t>Climate change mitigation</w:t>
            </w:r>
            <w:r w:rsidRPr="00D973E7">
              <w:rPr>
                <w:rFonts w:ascii="Times New Roman" w:hAnsi="Times New Roman" w:cs="Times New Roman"/>
                <w:color w:val="000000"/>
                <w:sz w:val="20"/>
                <w:shd w:val="clear" w:color="auto" w:fill="FFFFFF"/>
              </w:rPr>
              <w:t>: Is the measure expected to lead to significant GHG emissions?</w:t>
            </w:r>
          </w:p>
        </w:tc>
        <w:tc>
          <w:tcPr>
            <w:tcW w:w="493" w:type="dxa"/>
          </w:tcPr>
          <w:p w14:paraId="421B3A2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2992E06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vizează:</w:t>
            </w:r>
          </w:p>
          <w:p w14:paraId="02B7C163" w14:textId="77777777" w:rsidR="00EB3FCB" w:rsidRPr="00D973E7" w:rsidRDefault="00EB3FCB" w:rsidP="00EB3FCB">
            <w:pPr>
              <w:pStyle w:val="ListParagraph"/>
              <w:numPr>
                <w:ilvl w:val="0"/>
                <w:numId w:val="5"/>
              </w:numPr>
              <w:spacing w:after="120"/>
              <w:jc w:val="both"/>
              <w:rPr>
                <w:sz w:val="20"/>
              </w:rPr>
            </w:pPr>
            <w:r w:rsidRPr="00D973E7">
              <w:rPr>
                <w:sz w:val="20"/>
              </w:rPr>
              <w:t>Construirea de locuințe pentru tineri/locuințe sociale/ locuințe de necesitate/ locuințe pentru specialiști din sănătate și învățământ;</w:t>
            </w:r>
          </w:p>
          <w:p w14:paraId="5E82B101" w14:textId="77777777" w:rsidR="00EB3FCB" w:rsidRPr="00D973E7" w:rsidRDefault="00EB3FCB" w:rsidP="00EB3FCB">
            <w:pPr>
              <w:pStyle w:val="ListParagraph"/>
              <w:numPr>
                <w:ilvl w:val="0"/>
                <w:numId w:val="5"/>
              </w:numPr>
              <w:spacing w:after="120"/>
              <w:jc w:val="both"/>
              <w:rPr>
                <w:sz w:val="20"/>
              </w:rPr>
            </w:pPr>
            <w:r w:rsidRPr="00D973E7">
              <w:rPr>
                <w:sz w:val="20"/>
              </w:rPr>
              <w:t>Reabilitarea moderată a clădirilor ce adăpostesc servicii publice;</w:t>
            </w:r>
          </w:p>
          <w:p w14:paraId="56CD5C7D" w14:textId="77777777" w:rsidR="00EB3FCB" w:rsidRPr="00D973E7" w:rsidRDefault="00EB3FCB" w:rsidP="00EB3FCB">
            <w:pPr>
              <w:pStyle w:val="ListParagraph"/>
              <w:numPr>
                <w:ilvl w:val="0"/>
                <w:numId w:val="5"/>
              </w:numPr>
              <w:spacing w:after="120"/>
              <w:jc w:val="both"/>
              <w:rPr>
                <w:sz w:val="20"/>
              </w:rPr>
            </w:pPr>
            <w:r w:rsidRPr="00D973E7">
              <w:rPr>
                <w:sz w:val="20"/>
              </w:rPr>
              <w:t>Mobilitatea urbană durabilă - Schimbarea parcului de vehicule destinate transportului public (achiziția de vehicule curate);</w:t>
            </w:r>
          </w:p>
          <w:p w14:paraId="1F62122F" w14:textId="77777777" w:rsidR="00EB3FCB" w:rsidRPr="00D973E7" w:rsidRDefault="00EB3FCB" w:rsidP="00EB3FCB">
            <w:pPr>
              <w:pStyle w:val="ListParagraph"/>
              <w:numPr>
                <w:ilvl w:val="0"/>
                <w:numId w:val="5"/>
              </w:numPr>
              <w:spacing w:after="120"/>
              <w:jc w:val="both"/>
              <w:rPr>
                <w:sz w:val="20"/>
              </w:rPr>
            </w:pPr>
            <w:r w:rsidRPr="00D973E7">
              <w:rPr>
                <w:sz w:val="20"/>
              </w:rPr>
              <w:t>Mobilitatea urbană durabilă - Asigurarea infrastructurii pentru transportul verde - stații de încărcare vehicule electrice;</w:t>
            </w:r>
          </w:p>
          <w:p w14:paraId="106068B3" w14:textId="77777777" w:rsidR="00EB3FCB" w:rsidRPr="00D973E7" w:rsidRDefault="00EB3FCB" w:rsidP="00EB3FCB">
            <w:pPr>
              <w:pStyle w:val="ListParagraph"/>
              <w:numPr>
                <w:ilvl w:val="0"/>
                <w:numId w:val="5"/>
              </w:numPr>
              <w:spacing w:after="120"/>
              <w:jc w:val="both"/>
              <w:rPr>
                <w:sz w:val="20"/>
              </w:rPr>
            </w:pPr>
            <w:r w:rsidRPr="00D973E7">
              <w:rPr>
                <w:sz w:val="20"/>
              </w:rPr>
              <w:t>Mobilitatea urbană durabilă - Asigurarea infrastructurii pentru transportul verde – ITS;</w:t>
            </w:r>
          </w:p>
          <w:p w14:paraId="5D9D436A" w14:textId="77777777" w:rsidR="00EB3FCB" w:rsidRPr="00D973E7" w:rsidRDefault="00EB3FCB" w:rsidP="00EB3FCB">
            <w:pPr>
              <w:pStyle w:val="ListParagraph"/>
              <w:numPr>
                <w:ilvl w:val="0"/>
                <w:numId w:val="5"/>
              </w:numPr>
              <w:spacing w:after="120"/>
              <w:jc w:val="both"/>
              <w:rPr>
                <w:sz w:val="20"/>
              </w:rPr>
            </w:pPr>
            <w:r w:rsidRPr="00D973E7">
              <w:rPr>
                <w:sz w:val="20"/>
              </w:rPr>
              <w:t>Mobilitatea urbană durabilă - Asigurarea infrastructurii pentru biciclete.</w:t>
            </w:r>
          </w:p>
          <w:p w14:paraId="75300FA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indirecte, prin activitățile sprijinite de sub-măsurile propuse se urmărește în principal regenerarea și revitalizarea spațiilor publice urbane, prin construirea și modernizarea  de zone și trasee  pietonale, spații verzi.</w:t>
            </w:r>
          </w:p>
          <w:p w14:paraId="4FD6355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Proiectele de mobilitate verde se încadrează la domeniul de intervenție 077 - Infrastructuri pentru combustibili alternativi, 074 – Material rulant de transport urban curat, 075 – Infrastructuri pentru mersul pe bicicleta și 073 - Infrastructuri de transporturi urbane curate din anexa VI la Regulamentul (UE) nr. 2021/241, cu un coeficient al schimbărilor climatice de 100 %, </w:t>
            </w:r>
            <w:r w:rsidRPr="00D973E7">
              <w:rPr>
                <w:rFonts w:ascii="Times New Roman" w:hAnsi="Times New Roman" w:cs="Times New Roman"/>
                <w:sz w:val="20"/>
              </w:rPr>
              <w:lastRenderedPageBreak/>
              <w:t>susținând trecerea la o economie neutră din punct de vedere climatic.</w:t>
            </w:r>
          </w:p>
          <w:p w14:paraId="67C92E2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directe, în cadrul procesului de construcție a infrastructurii se va avea în vedere utilizarea de materiale și practici care să nu conducă la o creștere semnificativă de poluați în aer.</w:t>
            </w:r>
          </w:p>
          <w:p w14:paraId="2BFDAA4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va fi realizata având în vedere cele mai bune practici cu privire la eficiența energetică a echipamentelor utilizate și managementul energiei.</w:t>
            </w:r>
          </w:p>
          <w:p w14:paraId="3D7A1A2B"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vor respecta prevederile Directive privind eficiența energetică a clădirilor și conceptul de clădire nZEB.</w:t>
            </w:r>
          </w:p>
          <w:p w14:paraId="104ABC3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se consideră că nu există impact semnificativ negativ asupra acestui obiectiv de mediu.</w:t>
            </w:r>
          </w:p>
        </w:tc>
      </w:tr>
      <w:tr w:rsidR="00EB3FCB" w:rsidRPr="00D973E7" w14:paraId="24145337" w14:textId="77777777" w:rsidTr="008E5146">
        <w:tc>
          <w:tcPr>
            <w:tcW w:w="3399" w:type="dxa"/>
          </w:tcPr>
          <w:p w14:paraId="24C06462" w14:textId="77777777" w:rsidR="00EB3FCB" w:rsidRPr="00D973E7" w:rsidRDefault="00EB3FCB" w:rsidP="008E5146">
            <w:pPr>
              <w:spacing w:after="120"/>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lastRenderedPageBreak/>
              <w:t xml:space="preserve">Climate change adaptation: </w:t>
            </w:r>
            <w:r w:rsidRPr="00D973E7">
              <w:rPr>
                <w:rFonts w:ascii="Times New Roman" w:hAnsi="Times New Roman" w:cs="Times New Roman"/>
                <w:sz w:val="20"/>
              </w:rPr>
              <w:t>Is the measure expected to lead to an increased adverse impact of the current climate and the expected future climate, on the measure itself or on people, nature or assets?</w:t>
            </w:r>
          </w:p>
        </w:tc>
        <w:tc>
          <w:tcPr>
            <w:tcW w:w="493" w:type="dxa"/>
          </w:tcPr>
          <w:p w14:paraId="03D7CB7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08A528C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Prin investițiile propuse se sprijină infrastructura verde, contribuind astfel la creșterea adaptării la schimbările climatice.</w:t>
            </w:r>
          </w:p>
          <w:p w14:paraId="431991D6"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vor respecta inclusiv prevederile Ghidului privind planificarea urbană pentru limitarea şi combaterea schimbărilor climatice şi a expansiunii urbane necontrolate (propus a fi elaborat și aprobat în cadrul R1.3).</w:t>
            </w:r>
          </w:p>
          <w:p w14:paraId="46FCA625"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intervențiile care presupun reabilitare, se va avea în vedere creșterea calității vieții, alături de creșterea gradului de infrastructură verde disponibilă la nivelul orașului.</w:t>
            </w:r>
          </w:p>
          <w:p w14:paraId="657EA66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activitățile unde este aplicabil, se vor efectua analize de risc climatic și de vulnerabilitate, iar soluțiile de adaptare rezultate ulterior derulării acestor analize vor fi implementate la nivelul măsurilor aferente investițiilor.</w:t>
            </w:r>
          </w:p>
          <w:p w14:paraId="46C2391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investiția, pe parcursul întregului său ciclu de viață nu contribuie la creșterea efectului negativ al climatului actual și al climatului preconizat, nu are niciun impact previzibil asupra acestui obiectiv de mediu..</w:t>
            </w:r>
          </w:p>
        </w:tc>
      </w:tr>
      <w:tr w:rsidR="00EB3FCB" w:rsidRPr="00D973E7" w14:paraId="3CF8D744" w14:textId="77777777" w:rsidTr="008E5146">
        <w:tc>
          <w:tcPr>
            <w:tcW w:w="3399" w:type="dxa"/>
          </w:tcPr>
          <w:p w14:paraId="3AC9192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color w:val="000000"/>
                <w:sz w:val="20"/>
                <w:shd w:val="clear" w:color="auto" w:fill="FFFFFF"/>
              </w:rPr>
              <w:t xml:space="preserve">The transition to a circular economy, including waste prevention and recycling: </w:t>
            </w:r>
            <w:r w:rsidRPr="00D973E7">
              <w:rPr>
                <w:rFonts w:ascii="Times New Roman" w:hAnsi="Times New Roman" w:cs="Times New Roman"/>
                <w:sz w:val="20"/>
              </w:rPr>
              <w:t>Is the measure expected to:</w:t>
            </w:r>
          </w:p>
          <w:p w14:paraId="4FD5F103" w14:textId="77777777" w:rsidR="00EB3FCB" w:rsidRPr="00D973E7" w:rsidRDefault="00EB3FCB" w:rsidP="00EB3FCB">
            <w:pPr>
              <w:pStyle w:val="ListParagraph"/>
              <w:numPr>
                <w:ilvl w:val="0"/>
                <w:numId w:val="1"/>
              </w:numPr>
              <w:spacing w:after="120"/>
              <w:jc w:val="both"/>
              <w:rPr>
                <w:sz w:val="20"/>
              </w:rPr>
            </w:pPr>
            <w:r w:rsidRPr="00D973E7">
              <w:rPr>
                <w:sz w:val="20"/>
              </w:rPr>
              <w:t>lead to a significant increase in the generation, incineration or disposal of waste, with the exception of the incineration of non-recyclable hazardous waste; or</w:t>
            </w:r>
          </w:p>
          <w:p w14:paraId="5D8BDAC0" w14:textId="77777777" w:rsidR="00EB3FCB" w:rsidRPr="00D973E7" w:rsidRDefault="00EB3FCB" w:rsidP="00EB3FCB">
            <w:pPr>
              <w:pStyle w:val="ListParagraph"/>
              <w:numPr>
                <w:ilvl w:val="0"/>
                <w:numId w:val="1"/>
              </w:numPr>
              <w:spacing w:after="120"/>
              <w:jc w:val="both"/>
              <w:rPr>
                <w:sz w:val="20"/>
              </w:rPr>
            </w:pPr>
            <w:r w:rsidRPr="00D973E7">
              <w:rPr>
                <w:sz w:val="20"/>
              </w:rPr>
              <w:t>lead to significant inefficiencies in the direct or indirect use of any natural resource at any stage of its life cycle which are not minimised by adequate measures; or</w:t>
            </w:r>
          </w:p>
          <w:p w14:paraId="5953EFB5" w14:textId="77777777" w:rsidR="00EB3FCB" w:rsidRPr="00D973E7" w:rsidRDefault="00EB3FCB" w:rsidP="00EB3FCB">
            <w:pPr>
              <w:pStyle w:val="ListParagraph"/>
              <w:numPr>
                <w:ilvl w:val="0"/>
                <w:numId w:val="1"/>
              </w:numPr>
              <w:spacing w:after="120"/>
              <w:jc w:val="both"/>
              <w:rPr>
                <w:sz w:val="20"/>
              </w:rPr>
            </w:pPr>
            <w:r w:rsidRPr="00D973E7">
              <w:rPr>
                <w:color w:val="000000" w:themeColor="text1"/>
                <w:sz w:val="20"/>
              </w:rPr>
              <w:t>cause significant and long-term harm to the environment in respect to the circular economy? </w:t>
            </w:r>
          </w:p>
        </w:tc>
        <w:tc>
          <w:tcPr>
            <w:tcW w:w="493" w:type="dxa"/>
          </w:tcPr>
          <w:p w14:paraId="041FEB8B"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579BDF7A"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11D93D1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56085E4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1A16F230"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lastRenderedPageBreak/>
              <w:t>Totodată, la sfârșitul duratei de viață  a echipamengtelor se va avea în vedere respectarea prevederilor Anexei VII la Directiva 2012/19 / UE.</w:t>
            </w:r>
          </w:p>
          <w:p w14:paraId="7D55EE1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În același timp, investițiile au impact previzibil nesemnificativ asupra creșterii semnificative a generării, a incinerării sau a eliminării deșeurilor. </w:t>
            </w:r>
          </w:p>
          <w:p w14:paraId="649B82E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investițiile au un impact previzibil nesemnificativ asupra acestui obiectiv de mediu.</w:t>
            </w:r>
          </w:p>
        </w:tc>
      </w:tr>
      <w:tr w:rsidR="00EB3FCB" w:rsidRPr="00D973E7" w14:paraId="27DE4C17" w14:textId="77777777" w:rsidTr="008E5146">
        <w:tc>
          <w:tcPr>
            <w:tcW w:w="3399" w:type="dxa"/>
          </w:tcPr>
          <w:p w14:paraId="31672A44" w14:textId="77777777" w:rsidR="00EB3FCB" w:rsidRPr="00D973E7" w:rsidRDefault="00EB3FCB" w:rsidP="008E5146">
            <w:pPr>
              <w:spacing w:after="120"/>
              <w:jc w:val="both"/>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lastRenderedPageBreak/>
              <w:t xml:space="preserve">Pollution prevention and control: </w:t>
            </w:r>
            <w:r w:rsidRPr="00D973E7">
              <w:rPr>
                <w:rFonts w:ascii="Times New Roman" w:hAnsi="Times New Roman" w:cs="Times New Roman"/>
                <w:sz w:val="20"/>
              </w:rPr>
              <w:t>Is the measure expected to lead to a significant increase in the emissions of pollutants into air, water or land?</w:t>
            </w:r>
          </w:p>
        </w:tc>
        <w:tc>
          <w:tcPr>
            <w:tcW w:w="493" w:type="dxa"/>
          </w:tcPr>
          <w:p w14:paraId="5DCD2F05"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2391B520"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nu produce o creștere semnificativă a emisiilor de poluanți în aer, apă sau sol, nu are niciun impact previzibil asupra acestui obiectiv de mediu.</w:t>
            </w:r>
          </w:p>
        </w:tc>
      </w:tr>
    </w:tbl>
    <w:p w14:paraId="1619E26E" w14:textId="77777777" w:rsidR="00EB3FCB" w:rsidRPr="00D973E7" w:rsidRDefault="00EB3FCB" w:rsidP="00EB3FCB">
      <w:pPr>
        <w:rPr>
          <w:rFonts w:ascii="Times New Roman" w:hAnsi="Times New Roman" w:cs="Times New Roman"/>
          <w:b/>
          <w:bCs/>
          <w:sz w:val="20"/>
          <w:szCs w:val="20"/>
        </w:rPr>
      </w:pPr>
    </w:p>
    <w:p w14:paraId="7A1041CA"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I.4. Intervenții pentru creșterea calității vieții în mediul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55BF893C" w14:textId="77777777" w:rsidTr="008E5146">
        <w:trPr>
          <w:tblHeader/>
        </w:trPr>
        <w:tc>
          <w:tcPr>
            <w:tcW w:w="3403" w:type="dxa"/>
          </w:tcPr>
          <w:p w14:paraId="5CB8EC8D"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3D57B4F7"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68C6361A"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17168380"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6F114325" w14:textId="77777777" w:rsidTr="008E5146">
        <w:tc>
          <w:tcPr>
            <w:tcW w:w="3403" w:type="dxa"/>
          </w:tcPr>
          <w:p w14:paraId="3000A46E"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23B0DD7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532BE47B"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55E937DF"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13904A1E" w14:textId="77777777" w:rsidTr="008E5146">
        <w:tc>
          <w:tcPr>
            <w:tcW w:w="3403" w:type="dxa"/>
          </w:tcPr>
          <w:p w14:paraId="0449DA2E"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2043D46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65375385"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168BFDB2" w14:textId="77777777" w:rsidR="00EB3FCB" w:rsidRPr="00D973E7" w:rsidRDefault="00EB3FCB" w:rsidP="008E5146">
            <w:pPr>
              <w:spacing w:after="120"/>
              <w:ind w:left="90"/>
              <w:jc w:val="both"/>
              <w:rPr>
                <w:rFonts w:ascii="Times New Roman" w:hAnsi="Times New Roman" w:cs="Times New Roman"/>
                <w:sz w:val="20"/>
                <w:szCs w:val="20"/>
              </w:rPr>
            </w:pPr>
          </w:p>
        </w:tc>
      </w:tr>
      <w:tr w:rsidR="00EB3FCB" w:rsidRPr="00D973E7" w14:paraId="40192EC5" w14:textId="77777777" w:rsidTr="008E5146">
        <w:tc>
          <w:tcPr>
            <w:tcW w:w="3403" w:type="dxa"/>
          </w:tcPr>
          <w:p w14:paraId="21781A12"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178CEEB9"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4AEDBF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133870E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pe  parcursul întregului său ciclu de viață nu este nocivă pentru starea bună sau pentru potențialul ecologic bun al corpurilor de apă, prin urmare  nu  are niciun impact previzibil asupra acestui obiectiv de mediu.</w:t>
            </w:r>
          </w:p>
          <w:p w14:paraId="774F811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respecta prevederile Articolului 2, punctele (22) and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EB3FCB" w:rsidRPr="00D973E7" w14:paraId="7BBDC149" w14:textId="77777777" w:rsidTr="008E5146">
        <w:tc>
          <w:tcPr>
            <w:tcW w:w="3403" w:type="dxa"/>
          </w:tcPr>
          <w:p w14:paraId="2124118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7FC08F2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1941A138"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05D29C2B"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20A61018" w14:textId="77777777" w:rsidTr="008E5146">
        <w:tc>
          <w:tcPr>
            <w:tcW w:w="3403" w:type="dxa"/>
          </w:tcPr>
          <w:p w14:paraId="39ACF90B"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Pollution prevention and control to air, water or land</w:t>
            </w:r>
          </w:p>
        </w:tc>
        <w:tc>
          <w:tcPr>
            <w:tcW w:w="496" w:type="dxa"/>
          </w:tcPr>
          <w:p w14:paraId="3BDAE7A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93" w:type="dxa"/>
          </w:tcPr>
          <w:p w14:paraId="57F59E2D" w14:textId="77777777" w:rsidR="00EB3FCB" w:rsidRPr="00D973E7" w:rsidRDefault="00EB3FCB" w:rsidP="008E5146">
            <w:pPr>
              <w:spacing w:after="120"/>
              <w:jc w:val="both"/>
              <w:rPr>
                <w:rFonts w:ascii="Times New Roman" w:hAnsi="Times New Roman" w:cs="Times New Roman"/>
                <w:sz w:val="20"/>
                <w:szCs w:val="20"/>
              </w:rPr>
            </w:pPr>
          </w:p>
        </w:tc>
        <w:tc>
          <w:tcPr>
            <w:tcW w:w="4881" w:type="dxa"/>
          </w:tcPr>
          <w:p w14:paraId="04C1FA25" w14:textId="77777777" w:rsidR="00EB3FCB" w:rsidRPr="00D973E7" w:rsidRDefault="00EB3FCB" w:rsidP="008E5146">
            <w:pPr>
              <w:spacing w:after="120"/>
              <w:jc w:val="both"/>
              <w:rPr>
                <w:rFonts w:ascii="Times New Roman" w:hAnsi="Times New Roman" w:cs="Times New Roman"/>
                <w:sz w:val="20"/>
                <w:szCs w:val="20"/>
              </w:rPr>
            </w:pPr>
          </w:p>
        </w:tc>
      </w:tr>
      <w:tr w:rsidR="00EB3FCB" w:rsidRPr="00D973E7" w14:paraId="0DFC5D80" w14:textId="77777777" w:rsidTr="008E5146">
        <w:tc>
          <w:tcPr>
            <w:tcW w:w="3403" w:type="dxa"/>
          </w:tcPr>
          <w:p w14:paraId="1DC43A78"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0C03C797"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080CB5F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AAD6A7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investiții nu vizează zone sensibile din perspectiva biodiversității și a ecosistemelor (Natura 2000, Patrimoniul UNESCO sau alte zone protejate) și nu au impact previzibil asupra acestui obiectiv de mediu.</w:t>
            </w:r>
          </w:p>
          <w:p w14:paraId="19DB529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tc>
      </w:tr>
    </w:tbl>
    <w:p w14:paraId="259BA788" w14:textId="77777777" w:rsidR="00EB3FCB" w:rsidRPr="00D973E7" w:rsidRDefault="00EB3FCB" w:rsidP="00EB3FCB">
      <w:pPr>
        <w:rPr>
          <w:rFonts w:ascii="Times New Roman" w:hAnsi="Times New Roman" w:cs="Times New Roman"/>
          <w:b/>
          <w:bCs/>
          <w:sz w:val="20"/>
          <w:szCs w:val="20"/>
        </w:rPr>
      </w:pPr>
    </w:p>
    <w:tbl>
      <w:tblPr>
        <w:tblStyle w:val="TableGrid"/>
        <w:tblW w:w="9249" w:type="dxa"/>
        <w:tblLook w:val="04A0" w:firstRow="1" w:lastRow="0" w:firstColumn="1" w:lastColumn="0" w:noHBand="0" w:noVBand="1"/>
      </w:tblPr>
      <w:tblGrid>
        <w:gridCol w:w="3399"/>
        <w:gridCol w:w="493"/>
        <w:gridCol w:w="5357"/>
      </w:tblGrid>
      <w:tr w:rsidR="00EB3FCB" w:rsidRPr="00D973E7" w14:paraId="118EC7FB" w14:textId="77777777" w:rsidTr="008E5146">
        <w:tc>
          <w:tcPr>
            <w:tcW w:w="3399" w:type="dxa"/>
          </w:tcPr>
          <w:p w14:paraId="5F76D071"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sz w:val="20"/>
              </w:rPr>
              <w:lastRenderedPageBreak/>
              <w:t>Questions</w:t>
            </w:r>
          </w:p>
        </w:tc>
        <w:tc>
          <w:tcPr>
            <w:tcW w:w="493" w:type="dxa"/>
          </w:tcPr>
          <w:p w14:paraId="6C27563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No</w:t>
            </w:r>
          </w:p>
        </w:tc>
        <w:tc>
          <w:tcPr>
            <w:tcW w:w="5357" w:type="dxa"/>
          </w:tcPr>
          <w:p w14:paraId="3C227928"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sz w:val="20"/>
              </w:rPr>
              <w:t>Substantive justification</w:t>
            </w:r>
          </w:p>
        </w:tc>
      </w:tr>
      <w:tr w:rsidR="00EB3FCB" w:rsidRPr="00D973E7" w14:paraId="7750D9FC" w14:textId="77777777" w:rsidTr="008E5146">
        <w:tc>
          <w:tcPr>
            <w:tcW w:w="3399" w:type="dxa"/>
          </w:tcPr>
          <w:p w14:paraId="2D9A907F" w14:textId="77777777" w:rsidR="00EB3FCB" w:rsidRPr="00D973E7" w:rsidRDefault="00EB3FCB" w:rsidP="008E5146">
            <w:pPr>
              <w:spacing w:after="120"/>
              <w:rPr>
                <w:rFonts w:ascii="Times New Roman" w:hAnsi="Times New Roman" w:cs="Times New Roman"/>
                <w:i/>
                <w:color w:val="000000"/>
                <w:sz w:val="20"/>
                <w:shd w:val="clear" w:color="auto" w:fill="FFFFFF"/>
              </w:rPr>
            </w:pPr>
            <w:r w:rsidRPr="00D973E7">
              <w:rPr>
                <w:rFonts w:ascii="Times New Roman" w:hAnsi="Times New Roman" w:cs="Times New Roman"/>
                <w:i/>
                <w:color w:val="000000"/>
                <w:sz w:val="20"/>
                <w:shd w:val="clear" w:color="auto" w:fill="FFFFFF"/>
              </w:rPr>
              <w:t>Climate change mitigation</w:t>
            </w:r>
            <w:r w:rsidRPr="00D973E7">
              <w:rPr>
                <w:rFonts w:ascii="Times New Roman" w:hAnsi="Times New Roman" w:cs="Times New Roman"/>
                <w:color w:val="000000"/>
                <w:sz w:val="20"/>
                <w:shd w:val="clear" w:color="auto" w:fill="FFFFFF"/>
              </w:rPr>
              <w:t>: Is the measure expected to lead to significant GHG emissions?</w:t>
            </w:r>
          </w:p>
        </w:tc>
        <w:tc>
          <w:tcPr>
            <w:tcW w:w="493" w:type="dxa"/>
          </w:tcPr>
          <w:p w14:paraId="1DA62757"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0A3FE7D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Tipuri de proiecte eligibile (infrastructura elaborată nu va fi utilizată în realizarea unor activități economice):</w:t>
            </w:r>
          </w:p>
          <w:p w14:paraId="50AE9FB0" w14:textId="77777777" w:rsidR="00EB3FCB" w:rsidRPr="00D973E7" w:rsidRDefault="00EB3FCB" w:rsidP="00EB3FCB">
            <w:pPr>
              <w:pStyle w:val="ListParagraph"/>
              <w:numPr>
                <w:ilvl w:val="0"/>
                <w:numId w:val="2"/>
              </w:numPr>
              <w:spacing w:after="120"/>
              <w:jc w:val="both"/>
              <w:rPr>
                <w:sz w:val="20"/>
              </w:rPr>
            </w:pPr>
            <w:r w:rsidRPr="00D973E7">
              <w:rPr>
                <w:sz w:val="20"/>
              </w:rPr>
              <w:t>Construirea de locuințe pentru specialiști din sănătate și învățământ;</w:t>
            </w:r>
          </w:p>
          <w:p w14:paraId="563108B0" w14:textId="77777777" w:rsidR="00EB3FCB" w:rsidRPr="00D973E7" w:rsidRDefault="00EB3FCB" w:rsidP="00EB3FCB">
            <w:pPr>
              <w:pStyle w:val="ListParagraph"/>
              <w:numPr>
                <w:ilvl w:val="0"/>
                <w:numId w:val="2"/>
              </w:numPr>
              <w:spacing w:after="120"/>
              <w:jc w:val="both"/>
              <w:rPr>
                <w:sz w:val="20"/>
              </w:rPr>
            </w:pPr>
            <w:r w:rsidRPr="00D973E7">
              <w:rPr>
                <w:sz w:val="20"/>
              </w:rPr>
              <w:t>Reabilitarea moderată a clădirilor ce adăpostesc servicii publice;</w:t>
            </w:r>
          </w:p>
          <w:p w14:paraId="32273B67" w14:textId="77777777" w:rsidR="00EB3FCB" w:rsidRPr="00D973E7" w:rsidRDefault="00EB3FCB" w:rsidP="00EB3FCB">
            <w:pPr>
              <w:pStyle w:val="ListParagraph"/>
              <w:numPr>
                <w:ilvl w:val="0"/>
                <w:numId w:val="2"/>
              </w:numPr>
              <w:spacing w:after="120"/>
              <w:jc w:val="both"/>
              <w:rPr>
                <w:sz w:val="20"/>
              </w:rPr>
            </w:pPr>
            <w:r w:rsidRPr="00D973E7">
              <w:rPr>
                <w:sz w:val="20"/>
              </w:rPr>
              <w:t>Crearea de piste pentru bicicliști;</w:t>
            </w:r>
          </w:p>
          <w:p w14:paraId="261EB4BD" w14:textId="77777777" w:rsidR="00EB3FCB" w:rsidRPr="00D973E7" w:rsidRDefault="00EB3FCB" w:rsidP="00EB3FCB">
            <w:pPr>
              <w:pStyle w:val="ListParagraph"/>
              <w:numPr>
                <w:ilvl w:val="0"/>
                <w:numId w:val="2"/>
              </w:numPr>
              <w:spacing w:after="120"/>
              <w:jc w:val="both"/>
              <w:rPr>
                <w:sz w:val="20"/>
              </w:rPr>
            </w:pPr>
            <w:r w:rsidRPr="00D973E7">
              <w:rPr>
                <w:sz w:val="20"/>
              </w:rPr>
              <w:t>Dezvoltarea de stații de încărcare pentru vehiculele electrice;</w:t>
            </w:r>
          </w:p>
          <w:p w14:paraId="030873BB" w14:textId="77777777" w:rsidR="00EB3FCB" w:rsidRPr="00D973E7" w:rsidRDefault="00EB3FCB" w:rsidP="00EB3FCB">
            <w:pPr>
              <w:pStyle w:val="ListParagraph"/>
              <w:numPr>
                <w:ilvl w:val="0"/>
                <w:numId w:val="2"/>
              </w:numPr>
              <w:spacing w:after="120"/>
              <w:jc w:val="both"/>
              <w:rPr>
                <w:sz w:val="20"/>
              </w:rPr>
            </w:pPr>
            <w:r w:rsidRPr="00D973E7">
              <w:rPr>
                <w:sz w:val="20"/>
              </w:rPr>
              <w:t>Achiziția de microbuze electrice/hidrogen în scopuri comunitare;</w:t>
            </w:r>
          </w:p>
          <w:p w14:paraId="764C81D4" w14:textId="77777777" w:rsidR="00EB3FCB" w:rsidRPr="00D973E7" w:rsidRDefault="00EB3FCB" w:rsidP="00EB3FCB">
            <w:pPr>
              <w:pStyle w:val="ListParagraph"/>
              <w:numPr>
                <w:ilvl w:val="0"/>
                <w:numId w:val="2"/>
              </w:numPr>
              <w:spacing w:after="120"/>
              <w:jc w:val="both"/>
              <w:rPr>
                <w:sz w:val="20"/>
              </w:rPr>
            </w:pPr>
            <w:r w:rsidRPr="00D973E7">
              <w:rPr>
                <w:sz w:val="20"/>
              </w:rPr>
              <w:t>Asigurarea infrastructurii pentru transportul verde – ITS (pentru comunele care se află în zonele urbane funcționale, în zonele turistice și în zonele de frontieră).</w:t>
            </w:r>
          </w:p>
          <w:p w14:paraId="701DAB5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indirecte, prin activitățile sprijinite de sub-măsurile propuse se urmărește în principal regenerarea și revitalizarea spațiilor publice urbane, prin construirea și modernizarea  de zone și trasee  pietonale, spații verzi.</w:t>
            </w:r>
          </w:p>
          <w:p w14:paraId="3D43D73E"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Proiectele de mobilitate verde se încadrează la domeniul de intervenție 077 - Infrastructuri pentru combustibili alternativi, 074 – Material rulant de transport urban curat, 075 – Infrastructuri pentru mersul pe bicicleta și 073 - Infrastructuri de transporturi urbane curate din anexa VI la Regulamentul (UE) nr. 2021/241, cu un coeficient al schimbărilor climatice de 100 %, susținând trecerea la o economie neutră din punct de vedere climatic.</w:t>
            </w:r>
          </w:p>
          <w:p w14:paraId="6EA531D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În ceea ce privește efectele directe, în cadrul procesului de construcție a infrastructurii se va avea în vedere utilizarea de materiale și practici care să nu conducă la o creștere semnificativă de poluați în aer.</w:t>
            </w:r>
          </w:p>
          <w:p w14:paraId="52773BB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va fi realizata având în vedere cele mai bune practici cu privire la eficiența energetică a echipamentelor utilizate și managementul energiei.</w:t>
            </w:r>
          </w:p>
          <w:p w14:paraId="433B81B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vor respecta prevederile Directive privind eficiența energetică a clădirilor și conceptul de clădire nZEB.</w:t>
            </w:r>
          </w:p>
          <w:p w14:paraId="5CEC7BA9"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se consideră că nu există impact semnificativ negativ asupra acestui obiectiv de mediu.</w:t>
            </w:r>
          </w:p>
        </w:tc>
      </w:tr>
      <w:tr w:rsidR="00EB3FCB" w:rsidRPr="00D973E7" w14:paraId="74173B21" w14:textId="77777777" w:rsidTr="008E5146">
        <w:tc>
          <w:tcPr>
            <w:tcW w:w="3399" w:type="dxa"/>
          </w:tcPr>
          <w:p w14:paraId="73C77F58" w14:textId="77777777" w:rsidR="00EB3FCB" w:rsidRPr="00D973E7" w:rsidRDefault="00EB3FCB" w:rsidP="008E5146">
            <w:pPr>
              <w:spacing w:after="120"/>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t xml:space="preserve">Climate change adaptation: </w:t>
            </w:r>
            <w:r w:rsidRPr="00D973E7">
              <w:rPr>
                <w:rFonts w:ascii="Times New Roman" w:hAnsi="Times New Roman" w:cs="Times New Roman"/>
                <w:sz w:val="20"/>
              </w:rPr>
              <w:t>Is the measure expected to lead to an increased adverse impact of the current climate and the expected future climate, on the measure itself or on people, nature or assets?</w:t>
            </w:r>
          </w:p>
        </w:tc>
        <w:tc>
          <w:tcPr>
            <w:tcW w:w="493" w:type="dxa"/>
          </w:tcPr>
          <w:p w14:paraId="476D5B43"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495302C4"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Prin investițiile propuse se sprijină infrastructura verde, contribuind astfel la creșterea adaptării la schimbările climatice.</w:t>
            </w:r>
          </w:p>
          <w:p w14:paraId="109DE27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Investițiile vor respecta inclusiv prevederile Ghidului privind planificarea urbană pentru limitarea şi combaterea schimbărilor climatice şi a expansiunii urbane necontrolate (propus a fi elaborat și aprobat în cadrul R1.3).</w:t>
            </w:r>
          </w:p>
          <w:p w14:paraId="14067B4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Pentru intervențiile care presupun reabilitare, se va avea în vedere creșterea calității vieții, alături de creșterea gradului de infrastructură verde disponibilă la nivelul orașului.</w:t>
            </w:r>
          </w:p>
          <w:p w14:paraId="57B315A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Pentru activitățile unde este aplicabil, se vor efectua analize de risc climatic și de vulnerabilitate, iar soluțiile de adaptare </w:t>
            </w:r>
            <w:r w:rsidRPr="00D973E7">
              <w:rPr>
                <w:rFonts w:ascii="Times New Roman" w:hAnsi="Times New Roman" w:cs="Times New Roman"/>
                <w:sz w:val="20"/>
              </w:rPr>
              <w:lastRenderedPageBreak/>
              <w:t>rezultate ulterior derulării acestor analize vor fi implementate la nivelul măsurilor aferente investițiilor.</w:t>
            </w:r>
          </w:p>
          <w:p w14:paraId="0C53560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investiția, pe parcursul întregului său ciclu de viață nu contribuie la creșterea efectului negativ al climatului actual și al climatului preconizat, nu are niciun impact previzibil asupra acestui obiectiv de mediu.</w:t>
            </w:r>
          </w:p>
        </w:tc>
      </w:tr>
      <w:tr w:rsidR="00EB3FCB" w:rsidRPr="00D973E7" w14:paraId="2EEC727F" w14:textId="77777777" w:rsidTr="008E5146">
        <w:tc>
          <w:tcPr>
            <w:tcW w:w="3399" w:type="dxa"/>
          </w:tcPr>
          <w:p w14:paraId="3A4447DE"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i/>
                <w:color w:val="000000"/>
                <w:sz w:val="20"/>
                <w:shd w:val="clear" w:color="auto" w:fill="FFFFFF"/>
              </w:rPr>
              <w:lastRenderedPageBreak/>
              <w:t xml:space="preserve">The transition to a circular economy, including waste prevention and recycling: </w:t>
            </w:r>
            <w:r w:rsidRPr="00D973E7">
              <w:rPr>
                <w:rFonts w:ascii="Times New Roman" w:hAnsi="Times New Roman" w:cs="Times New Roman"/>
                <w:sz w:val="20"/>
              </w:rPr>
              <w:t>Is the measure expected to:</w:t>
            </w:r>
          </w:p>
          <w:p w14:paraId="6885D242" w14:textId="77777777" w:rsidR="00EB3FCB" w:rsidRPr="00D973E7" w:rsidRDefault="00EB3FCB" w:rsidP="00EB3FCB">
            <w:pPr>
              <w:pStyle w:val="ListParagraph"/>
              <w:numPr>
                <w:ilvl w:val="0"/>
                <w:numId w:val="1"/>
              </w:numPr>
              <w:spacing w:after="120"/>
              <w:jc w:val="both"/>
              <w:rPr>
                <w:sz w:val="20"/>
              </w:rPr>
            </w:pPr>
            <w:r w:rsidRPr="00D973E7">
              <w:rPr>
                <w:sz w:val="20"/>
              </w:rPr>
              <w:t>lead to a significant increase in the generation, incineration or disposal of waste, with the exception of the incineration of non-recyclable hazardous waste; or</w:t>
            </w:r>
          </w:p>
          <w:p w14:paraId="70E01A2C" w14:textId="77777777" w:rsidR="00EB3FCB" w:rsidRPr="00D973E7" w:rsidRDefault="00EB3FCB" w:rsidP="00EB3FCB">
            <w:pPr>
              <w:pStyle w:val="ListParagraph"/>
              <w:numPr>
                <w:ilvl w:val="0"/>
                <w:numId w:val="1"/>
              </w:numPr>
              <w:spacing w:after="120"/>
              <w:jc w:val="both"/>
              <w:rPr>
                <w:sz w:val="20"/>
              </w:rPr>
            </w:pPr>
            <w:r w:rsidRPr="00D973E7">
              <w:rPr>
                <w:sz w:val="20"/>
              </w:rPr>
              <w:t>lead to significant inefficiencies in the direct or indirect use of any natural resource at any stage of its life cycle which are not minimised by adequate measures; or</w:t>
            </w:r>
          </w:p>
          <w:p w14:paraId="6058EEE9" w14:textId="77777777" w:rsidR="00EB3FCB" w:rsidRPr="00D973E7" w:rsidRDefault="00EB3FCB" w:rsidP="00EB3FCB">
            <w:pPr>
              <w:pStyle w:val="ListParagraph"/>
              <w:numPr>
                <w:ilvl w:val="0"/>
                <w:numId w:val="1"/>
              </w:numPr>
              <w:spacing w:after="120"/>
              <w:jc w:val="both"/>
              <w:rPr>
                <w:sz w:val="20"/>
              </w:rPr>
            </w:pPr>
            <w:r w:rsidRPr="00D973E7">
              <w:rPr>
                <w:color w:val="000000" w:themeColor="text1"/>
                <w:sz w:val="20"/>
              </w:rPr>
              <w:t>cause significant and long-term harm to the environment in respect to the circular economy? </w:t>
            </w:r>
          </w:p>
        </w:tc>
        <w:tc>
          <w:tcPr>
            <w:tcW w:w="493" w:type="dxa"/>
          </w:tcPr>
          <w:p w14:paraId="4ED2544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75F74C3A"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2B344E9F"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10B905DA"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252238BD"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Totodată, la sfârșitul duratei de viață  a echipamengtelor se va avea în vedere respectarea prevederilor Anexei VII la Directiva 2012/19 / UE.</w:t>
            </w:r>
          </w:p>
          <w:p w14:paraId="2CE77B82"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 xml:space="preserve">În același timp, investițiile au impact previzibil nesemnificativ asupra creșterii semnificative a generării, a incinerării sau a eliminării deșeurilor. </w:t>
            </w:r>
          </w:p>
          <w:p w14:paraId="477A03B1"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Astfel, investițiile au un impact previzibil nesemnificativ asupra acestui obiectiv de mediu.</w:t>
            </w:r>
          </w:p>
        </w:tc>
      </w:tr>
      <w:tr w:rsidR="00EB3FCB" w:rsidRPr="00D973E7" w14:paraId="4EDCE636" w14:textId="77777777" w:rsidTr="008E5146">
        <w:tc>
          <w:tcPr>
            <w:tcW w:w="3399" w:type="dxa"/>
          </w:tcPr>
          <w:p w14:paraId="3FF139C5" w14:textId="77777777" w:rsidR="00EB3FCB" w:rsidRPr="00D973E7" w:rsidRDefault="00EB3FCB" w:rsidP="008E5146">
            <w:pPr>
              <w:spacing w:after="120"/>
              <w:jc w:val="both"/>
              <w:rPr>
                <w:rFonts w:ascii="Times New Roman" w:hAnsi="Times New Roman" w:cs="Times New Roman"/>
                <w:color w:val="000000"/>
                <w:sz w:val="20"/>
                <w:shd w:val="clear" w:color="auto" w:fill="FFFFFF"/>
              </w:rPr>
            </w:pPr>
            <w:r w:rsidRPr="00D973E7">
              <w:rPr>
                <w:rFonts w:ascii="Times New Roman" w:hAnsi="Times New Roman" w:cs="Times New Roman"/>
                <w:i/>
                <w:color w:val="000000"/>
                <w:sz w:val="20"/>
                <w:shd w:val="clear" w:color="auto" w:fill="FFFFFF"/>
              </w:rPr>
              <w:t xml:space="preserve">Pollution prevention and control: </w:t>
            </w:r>
            <w:r w:rsidRPr="00D973E7">
              <w:rPr>
                <w:rFonts w:ascii="Times New Roman" w:hAnsi="Times New Roman" w:cs="Times New Roman"/>
                <w:sz w:val="20"/>
              </w:rPr>
              <w:t>Is the measure expected to lead to a significant increase in the emissions of pollutants into air, water or land?</w:t>
            </w:r>
          </w:p>
        </w:tc>
        <w:tc>
          <w:tcPr>
            <w:tcW w:w="493" w:type="dxa"/>
          </w:tcPr>
          <w:p w14:paraId="244206E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x</w:t>
            </w:r>
          </w:p>
        </w:tc>
        <w:tc>
          <w:tcPr>
            <w:tcW w:w="5357" w:type="dxa"/>
          </w:tcPr>
          <w:p w14:paraId="141042BC" w14:textId="77777777" w:rsidR="00EB3FCB" w:rsidRPr="00D973E7" w:rsidRDefault="00EB3FCB" w:rsidP="008E5146">
            <w:pPr>
              <w:spacing w:after="120"/>
              <w:jc w:val="both"/>
              <w:rPr>
                <w:rFonts w:ascii="Times New Roman" w:hAnsi="Times New Roman" w:cs="Times New Roman"/>
                <w:sz w:val="20"/>
              </w:rPr>
            </w:pPr>
            <w:r w:rsidRPr="00D973E7">
              <w:rPr>
                <w:rFonts w:ascii="Times New Roman" w:hAnsi="Times New Roman" w:cs="Times New Roman"/>
                <w:sz w:val="20"/>
              </w:rPr>
              <w:t>Investiția nu produce o creștere semnificativă a emisiilor de poluanți în aer, apă sau sol, nu are niciun impact previzibil asupra acestui obiectiv de mediu.</w:t>
            </w:r>
          </w:p>
        </w:tc>
      </w:tr>
    </w:tbl>
    <w:p w14:paraId="0B787D23" w14:textId="77777777" w:rsidR="00EB3FCB" w:rsidRPr="00D973E7" w:rsidRDefault="00EB3FCB" w:rsidP="00EB3FCB">
      <w:pPr>
        <w:rPr>
          <w:rFonts w:ascii="Times New Roman" w:hAnsi="Times New Roman" w:cs="Times New Roman"/>
          <w:b/>
          <w:bCs/>
          <w:sz w:val="20"/>
          <w:szCs w:val="20"/>
        </w:rPr>
      </w:pPr>
    </w:p>
    <w:p w14:paraId="28656130"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 xml:space="preserve">I.5. Elaborarea/actualizarea în format digital a documentațiilor de amenajarea teritoriului și de urbanism de tip Plan de Amenajarea Teritoriului Județean/ Plan de Amenajare a Teritoriului Zonal Metropolitan/ Plan Urbanistic General/ Plan Urbanistic Zonal/ a Planurilor de Mobilitate Urbană Durabilă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3E6C45E2" w14:textId="77777777" w:rsidTr="008E5146">
        <w:tc>
          <w:tcPr>
            <w:tcW w:w="3403" w:type="dxa"/>
          </w:tcPr>
          <w:p w14:paraId="544E2E20"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564C6A99"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4CA25BC7"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0BA7C63A"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655DFFA3" w14:textId="77777777" w:rsidTr="008E5146">
        <w:tc>
          <w:tcPr>
            <w:tcW w:w="3403" w:type="dxa"/>
          </w:tcPr>
          <w:p w14:paraId="5AC1CC63"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57CAD146"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ACB461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34BD9A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Din datele deținute, sub 8% din documentațiile existente au fost elaborate în format digital interoperabil. Pentru implementarea unor noi concepte de dezvoltare urbană/locală care să faciliteze tranziția verde a localităților din România, actualizarea documentațiilor </w:t>
            </w:r>
            <w:r w:rsidRPr="00D973E7">
              <w:rPr>
                <w:rFonts w:ascii="Times New Roman" w:hAnsi="Times New Roman" w:cs="Times New Roman"/>
                <w:sz w:val="20"/>
                <w:szCs w:val="20"/>
              </w:rPr>
              <w:lastRenderedPageBreak/>
              <w:t>PUG în format GIS este esențială astfel încât să fie dezvoltată o documentație dinamică care să răspundă la cerințele și provocările actuale și viitoare.</w:t>
            </w:r>
          </w:p>
          <w:p w14:paraId="0FE9056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are ca obiectiv:</w:t>
            </w:r>
          </w:p>
          <w:p w14:paraId="7981FDD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w:t>
            </w:r>
            <w:r w:rsidRPr="00D973E7">
              <w:rPr>
                <w:rFonts w:ascii="Times New Roman" w:hAnsi="Times New Roman" w:cs="Times New Roman"/>
                <w:sz w:val="20"/>
                <w:szCs w:val="20"/>
              </w:rPr>
              <w:tab/>
              <w:t>Elaborarea/actualizarea de Planuri Urbanistice Generale în format digital</w:t>
            </w:r>
          </w:p>
          <w:p w14:paraId="0AF315E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w:t>
            </w:r>
            <w:r w:rsidRPr="00D973E7">
              <w:rPr>
                <w:rFonts w:ascii="Times New Roman" w:hAnsi="Times New Roman" w:cs="Times New Roman"/>
                <w:sz w:val="20"/>
                <w:szCs w:val="20"/>
              </w:rPr>
              <w:tab/>
              <w:t>Elaborarea/actualizarea de planuri Urbanistice Zonale în format digital</w:t>
            </w:r>
          </w:p>
          <w:p w14:paraId="2A9B931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w:t>
            </w:r>
            <w:r w:rsidRPr="00D973E7">
              <w:rPr>
                <w:rFonts w:ascii="Times New Roman" w:hAnsi="Times New Roman" w:cs="Times New Roman"/>
                <w:sz w:val="20"/>
                <w:szCs w:val="20"/>
              </w:rPr>
              <w:tab/>
              <w:t>Elaborarea/actualizarea de Planuri de Amenajarea Teritoriului Județean în format digital</w:t>
            </w:r>
          </w:p>
          <w:p w14:paraId="2D6682D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w:t>
            </w:r>
            <w:r w:rsidRPr="00D973E7">
              <w:rPr>
                <w:rFonts w:ascii="Times New Roman" w:hAnsi="Times New Roman" w:cs="Times New Roman"/>
                <w:sz w:val="20"/>
                <w:szCs w:val="20"/>
              </w:rPr>
              <w:tab/>
              <w:t xml:space="preserve">Elaborarea/actualizarea de Planuri de Amenajarea Teritoriului Zonal Metropolitan în format digital. </w:t>
            </w:r>
          </w:p>
          <w:p w14:paraId="50B74A4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w:t>
            </w:r>
            <w:r w:rsidRPr="00D973E7">
              <w:rPr>
                <w:rFonts w:ascii="Times New Roman" w:hAnsi="Times New Roman" w:cs="Times New Roman"/>
                <w:sz w:val="20"/>
                <w:szCs w:val="20"/>
              </w:rPr>
              <w:tab/>
              <w:t>Elaborarea/actualizarea de Planuri de Mobilitate Urbană Durabilă în format digital.</w:t>
            </w:r>
          </w:p>
          <w:p w14:paraId="22A85DA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Vor fi finanțate la nivel central elaborarea de metodologii și standarde comune, iar la nivelul beneficiarilor suportul financiar pentru elaborarea/actualizarea planurilor în format digital.</w:t>
            </w:r>
          </w:p>
          <w:p w14:paraId="301DB8C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Tehnologiile ce urmează a fi achiziționate, în conformitate cu cerințele caietelor de sarcini ce urmează a fi propuse, vor fi de ultimă generație, cu eficiență energetică ridicată.</w:t>
            </w:r>
          </w:p>
          <w:p w14:paraId="7F47178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De asemenea, se vor respecta prevederile Codului de conduită privind eficiența energetică a data center-lor (Code of Conduct for Energy Efficiency in Data Centres – versiunea cea mai recentă, actualmente 2021), precum și a celor mai bune practici recomandate pentru managementul energiei.</w:t>
            </w:r>
          </w:p>
        </w:tc>
      </w:tr>
      <w:tr w:rsidR="00EB3FCB" w:rsidRPr="00D973E7" w14:paraId="3390FA4B" w14:textId="77777777" w:rsidTr="008E5146">
        <w:tc>
          <w:tcPr>
            <w:tcW w:w="3403" w:type="dxa"/>
          </w:tcPr>
          <w:p w14:paraId="62250494"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lastRenderedPageBreak/>
              <w:t>Climate change adaptation</w:t>
            </w:r>
          </w:p>
        </w:tc>
        <w:tc>
          <w:tcPr>
            <w:tcW w:w="496" w:type="dxa"/>
          </w:tcPr>
          <w:p w14:paraId="412D7EFA"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096D152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8D1A5A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Activitățile au impact redus asupra acestui obiectiv de mediu. </w:t>
            </w:r>
          </w:p>
          <w:p w14:paraId="5DCCD6C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vizate în cadrul acestei investiții vor avea specificații care să le asigure durabilitatea în condițiile climatice unde urmează a fi instalate.</w:t>
            </w:r>
          </w:p>
          <w:p w14:paraId="165770D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efectua analize de risc climatic și de vulnerabilitate, iar soluțiile de adaptare rezultate ulterior derulării acestor analize vor fi implementate la nivelul măsurilor aferente investiției.</w:t>
            </w:r>
          </w:p>
        </w:tc>
      </w:tr>
      <w:tr w:rsidR="00EB3FCB" w:rsidRPr="00D973E7" w14:paraId="59ADC3B0" w14:textId="77777777" w:rsidTr="008E5146">
        <w:tc>
          <w:tcPr>
            <w:tcW w:w="3403" w:type="dxa"/>
          </w:tcPr>
          <w:p w14:paraId="5BDED155"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0E118BAA"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227ADC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743A8C0"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Activitățile nu au impact asupra protecției și utilizării durabile ale resurselor de apă și marine.</w:t>
            </w:r>
          </w:p>
        </w:tc>
      </w:tr>
      <w:tr w:rsidR="00EB3FCB" w:rsidRPr="00D973E7" w14:paraId="54E57E3A" w14:textId="77777777" w:rsidTr="008E5146">
        <w:tc>
          <w:tcPr>
            <w:tcW w:w="3403" w:type="dxa"/>
          </w:tcPr>
          <w:p w14:paraId="7A390D07"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79B5BA6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BBDF59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1835D6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Impactul asupra acestui obiectiv de mediu este insignifiant. </w:t>
            </w:r>
          </w:p>
          <w:p w14:paraId="37A3E19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Eventualele materialele rezultate în urma procesului de instalare a echipamentelor vor fi reciclate, conform prevederilor legale in vigoare. Digitalizarea instrumentelor de planificare va conduce la eliminarea deșeurilor produse </w:t>
            </w:r>
            <w:r w:rsidRPr="00D973E7">
              <w:rPr>
                <w:rFonts w:ascii="Times New Roman" w:hAnsi="Times New Roman" w:cs="Times New Roman"/>
                <w:sz w:val="20"/>
                <w:szCs w:val="20"/>
              </w:rPr>
              <w:lastRenderedPageBreak/>
              <w:t>prin arhivarea și păastrarea variantelor pe hârtie ale acestor documente.</w:t>
            </w:r>
          </w:p>
          <w:p w14:paraId="2511F9C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3DA9242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utilizate nu conțin substanțele restricționate listate în Anexa II la Directiva 2011/65/EU.</w:t>
            </w:r>
          </w:p>
          <w:p w14:paraId="1CDD07F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reflectatî și de proiectțiile financiare sau documentele oficiale ale proiectului. </w:t>
            </w:r>
          </w:p>
          <w:p w14:paraId="66869A9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tc>
      </w:tr>
      <w:tr w:rsidR="00EB3FCB" w:rsidRPr="00D973E7" w14:paraId="357BEE33" w14:textId="77777777" w:rsidTr="008E5146">
        <w:tc>
          <w:tcPr>
            <w:tcW w:w="3403" w:type="dxa"/>
          </w:tcPr>
          <w:p w14:paraId="03285C14"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Pollution prevention and control to air, water or land</w:t>
            </w:r>
          </w:p>
        </w:tc>
        <w:tc>
          <w:tcPr>
            <w:tcW w:w="496" w:type="dxa"/>
          </w:tcPr>
          <w:p w14:paraId="3E61190C"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E0ABA8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6CA29D5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Impactul asupra acestui obiectiv de mediu este insignifiant. Echipamentele și tehnologiile care vor fi achiziționate vor fi de ultimă generație, cu grad de poluare redus. În contextul necesității implementării unor noi concepte de dezvoltare urbană/locală care să faciliteze tranziția verde a localităților din România, actualizarea documentațiilor PUG în format GIS este esențială astfel încât să fie dezvoltată o documentație dinamică care să răspundă la cerințele și provocările actuale și viitoare. Prin intermediul acestor documentații va fi efectuată tranziția către verde a localităților din România, oferind cadrul pentru implementarea principiilor europene stabilite prin Noua Cartă de la Leipzig pentru orașe europene durabile și pentru implementarea conceptelor actuale, inclusiv a orașului de 15 minute, ce presupune mixitate funcțională pentru limitarea nevoilor de deplasare a cetățenilor (inclusiv a distanțelor), contribuind la reducerea traficului și a poluării.</w:t>
            </w:r>
          </w:p>
        </w:tc>
      </w:tr>
      <w:tr w:rsidR="00EB3FCB" w:rsidRPr="00D973E7" w14:paraId="51F6D720" w14:textId="77777777" w:rsidTr="008E5146">
        <w:tc>
          <w:tcPr>
            <w:tcW w:w="3403" w:type="dxa"/>
          </w:tcPr>
          <w:p w14:paraId="6E6DE647"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09282423"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63FF0D62"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AB14B0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intervenții nu dăunează semnificativ ecosistemelor, conservării habitatelor și speciilor.</w:t>
            </w:r>
          </w:p>
          <w:p w14:paraId="0E994BD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p w14:paraId="29FFB606"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Investițiile se vor adresa tranziției către valorificarea elementelor de cadru natural, către utilizarea soluțiilor </w:t>
            </w:r>
            <w:r w:rsidRPr="00D973E7">
              <w:rPr>
                <w:rFonts w:ascii="Times New Roman" w:hAnsi="Times New Roman" w:cs="Times New Roman"/>
                <w:sz w:val="20"/>
                <w:szCs w:val="20"/>
              </w:rPr>
              <w:lastRenderedPageBreak/>
              <w:t>bazate pe natură și, implicit, încadrarea în țintele ambițioase ale Pactului Verde European. Se urmărește operaționalizarea conceptelor de smart village și smart city.</w:t>
            </w:r>
          </w:p>
        </w:tc>
      </w:tr>
    </w:tbl>
    <w:p w14:paraId="05A7C364" w14:textId="77777777" w:rsidR="00EB3FCB" w:rsidRPr="00D973E7" w:rsidRDefault="00EB3FCB" w:rsidP="00EB3FCB">
      <w:pPr>
        <w:rPr>
          <w:rFonts w:ascii="Times New Roman" w:hAnsi="Times New Roman" w:cs="Times New Roman"/>
          <w:b/>
          <w:bCs/>
          <w:sz w:val="20"/>
          <w:szCs w:val="20"/>
        </w:rPr>
      </w:pPr>
    </w:p>
    <w:p w14:paraId="0FFF81DD" w14:textId="77777777" w:rsidR="00EB3FCB" w:rsidRPr="00D973E7" w:rsidRDefault="00EB3FCB" w:rsidP="00EB3FCB">
      <w:pPr>
        <w:rPr>
          <w:rFonts w:ascii="Times New Roman" w:hAnsi="Times New Roman" w:cs="Times New Roman"/>
          <w:b/>
          <w:bCs/>
          <w:sz w:val="20"/>
          <w:szCs w:val="20"/>
        </w:rPr>
      </w:pPr>
      <w:r w:rsidRPr="00D973E7">
        <w:rPr>
          <w:rFonts w:ascii="Times New Roman" w:hAnsi="Times New Roman" w:cs="Times New Roman"/>
          <w:b/>
          <w:bCs/>
          <w:sz w:val="20"/>
          <w:szCs w:val="20"/>
        </w:rPr>
        <w:t>I.6. Intervenții pentru implementarea la nivel național a traseelor cicloturistice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EB3FCB" w:rsidRPr="00D973E7" w14:paraId="1791C9E5" w14:textId="77777777" w:rsidTr="008E5146">
        <w:tc>
          <w:tcPr>
            <w:tcW w:w="3403" w:type="dxa"/>
          </w:tcPr>
          <w:p w14:paraId="5825A70B"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i/>
                <w:sz w:val="20"/>
                <w:szCs w:val="20"/>
              </w:rPr>
              <w:t>Please indicate which of the environmental objectives below require a substantive DNSH assessment of the measure</w:t>
            </w:r>
          </w:p>
        </w:tc>
        <w:tc>
          <w:tcPr>
            <w:tcW w:w="496" w:type="dxa"/>
          </w:tcPr>
          <w:p w14:paraId="37862DD5"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Yes</w:t>
            </w:r>
          </w:p>
        </w:tc>
        <w:tc>
          <w:tcPr>
            <w:tcW w:w="493" w:type="dxa"/>
          </w:tcPr>
          <w:p w14:paraId="3199203E" w14:textId="77777777" w:rsidR="00EB3FCB" w:rsidRPr="00D973E7" w:rsidRDefault="00EB3FCB" w:rsidP="008E5146">
            <w:pPr>
              <w:spacing w:after="120"/>
              <w:jc w:val="both"/>
              <w:rPr>
                <w:rFonts w:ascii="Times New Roman" w:hAnsi="Times New Roman" w:cs="Times New Roman"/>
                <w:i/>
                <w:sz w:val="20"/>
                <w:szCs w:val="20"/>
              </w:rPr>
            </w:pPr>
            <w:r w:rsidRPr="00D973E7">
              <w:rPr>
                <w:rFonts w:ascii="Times New Roman" w:hAnsi="Times New Roman" w:cs="Times New Roman"/>
                <w:sz w:val="20"/>
                <w:szCs w:val="20"/>
              </w:rPr>
              <w:t>No</w:t>
            </w:r>
          </w:p>
        </w:tc>
        <w:tc>
          <w:tcPr>
            <w:tcW w:w="4881" w:type="dxa"/>
          </w:tcPr>
          <w:p w14:paraId="5A76B886"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i/>
                <w:sz w:val="20"/>
                <w:szCs w:val="20"/>
              </w:rPr>
              <w:t>Justification if ‘No’ has been selected</w:t>
            </w:r>
          </w:p>
        </w:tc>
      </w:tr>
      <w:tr w:rsidR="00EB3FCB" w:rsidRPr="00D973E7" w14:paraId="0F717D79" w14:textId="77777777" w:rsidTr="008E5146">
        <w:tc>
          <w:tcPr>
            <w:tcW w:w="3403" w:type="dxa"/>
          </w:tcPr>
          <w:p w14:paraId="4EFB082B"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color w:val="000000"/>
                <w:sz w:val="20"/>
                <w:szCs w:val="20"/>
                <w:shd w:val="clear" w:color="auto" w:fill="FFFFFF"/>
              </w:rPr>
              <w:t>Climate change mitigation</w:t>
            </w:r>
          </w:p>
        </w:tc>
        <w:tc>
          <w:tcPr>
            <w:tcW w:w="496" w:type="dxa"/>
          </w:tcPr>
          <w:p w14:paraId="0F753962"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F271D5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3A9CBFE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Investiția are ca obiectiv:</w:t>
            </w:r>
          </w:p>
          <w:p w14:paraId="2A7A2CED" w14:textId="77777777" w:rsidR="00EB3FCB" w:rsidRPr="00D973E7" w:rsidRDefault="00EB3FCB" w:rsidP="00EB3FCB">
            <w:pPr>
              <w:pStyle w:val="ListParagraph"/>
              <w:numPr>
                <w:ilvl w:val="0"/>
                <w:numId w:val="6"/>
              </w:numPr>
              <w:spacing w:after="120" w:line="259" w:lineRule="auto"/>
              <w:jc w:val="both"/>
              <w:rPr>
                <w:sz w:val="20"/>
                <w:szCs w:val="20"/>
              </w:rPr>
            </w:pPr>
            <w:r w:rsidRPr="00D973E7">
              <w:rPr>
                <w:sz w:val="20"/>
                <w:szCs w:val="20"/>
              </w:rPr>
              <w:t>Realizarea planului de acțiuni și a studiilor specifice pentru traseele cicloturistice</w:t>
            </w:r>
          </w:p>
          <w:p w14:paraId="2C1A4230" w14:textId="77777777" w:rsidR="00EB3FCB" w:rsidRPr="00D973E7" w:rsidRDefault="00EB3FCB" w:rsidP="00EB3FCB">
            <w:pPr>
              <w:pStyle w:val="ListParagraph"/>
              <w:numPr>
                <w:ilvl w:val="0"/>
                <w:numId w:val="6"/>
              </w:numPr>
              <w:spacing w:after="120" w:line="259" w:lineRule="auto"/>
              <w:jc w:val="both"/>
              <w:rPr>
                <w:sz w:val="20"/>
                <w:szCs w:val="20"/>
              </w:rPr>
            </w:pPr>
            <w:r w:rsidRPr="00D973E7">
              <w:rPr>
                <w:sz w:val="20"/>
                <w:szCs w:val="20"/>
              </w:rPr>
              <w:t>Constituirea Centrului Naţional de Coordonare Velo</w:t>
            </w:r>
          </w:p>
          <w:p w14:paraId="0669E6DC" w14:textId="77777777" w:rsidR="00EB3FCB" w:rsidRPr="00D973E7" w:rsidRDefault="00EB3FCB" w:rsidP="00EB3FCB">
            <w:pPr>
              <w:pStyle w:val="ListParagraph"/>
              <w:numPr>
                <w:ilvl w:val="0"/>
                <w:numId w:val="6"/>
              </w:numPr>
              <w:spacing w:after="120" w:line="259" w:lineRule="auto"/>
              <w:jc w:val="both"/>
              <w:rPr>
                <w:sz w:val="20"/>
                <w:szCs w:val="20"/>
              </w:rPr>
            </w:pPr>
            <w:r w:rsidRPr="00D973E7">
              <w:rPr>
                <w:sz w:val="20"/>
                <w:szCs w:val="20"/>
              </w:rPr>
              <w:t>Digitalizarea pistelor și traseelor velo</w:t>
            </w:r>
          </w:p>
          <w:p w14:paraId="27CA3AF9" w14:textId="77777777" w:rsidR="00EB3FCB" w:rsidRPr="00D973E7" w:rsidRDefault="00EB3FCB" w:rsidP="00EB3FCB">
            <w:pPr>
              <w:pStyle w:val="ListParagraph"/>
              <w:numPr>
                <w:ilvl w:val="0"/>
                <w:numId w:val="6"/>
              </w:numPr>
              <w:spacing w:after="120" w:line="259" w:lineRule="auto"/>
              <w:jc w:val="both"/>
              <w:rPr>
                <w:sz w:val="20"/>
                <w:szCs w:val="20"/>
              </w:rPr>
            </w:pPr>
            <w:r w:rsidRPr="00D973E7">
              <w:rPr>
                <w:sz w:val="20"/>
                <w:szCs w:val="20"/>
              </w:rPr>
              <w:t>Realizarea a 3.000 km de piste pe trasee velo naționale, inclusiv traseele EuroVelo.</w:t>
            </w:r>
          </w:p>
          <w:p w14:paraId="14452D04" w14:textId="77777777" w:rsidR="00EB3FCB" w:rsidRPr="00D973E7" w:rsidRDefault="00EB3FCB" w:rsidP="00EB3FCB">
            <w:pPr>
              <w:pStyle w:val="ListParagraph"/>
              <w:numPr>
                <w:ilvl w:val="0"/>
                <w:numId w:val="6"/>
              </w:numPr>
              <w:spacing w:after="120" w:line="259" w:lineRule="auto"/>
              <w:jc w:val="both"/>
              <w:rPr>
                <w:sz w:val="20"/>
                <w:szCs w:val="20"/>
              </w:rPr>
            </w:pPr>
            <w:r w:rsidRPr="00D973E7">
              <w:rPr>
                <w:sz w:val="20"/>
                <w:szCs w:val="20"/>
              </w:rPr>
              <w:t>Realizarea infrastructurii conexe pentru traseele cicloturistice.</w:t>
            </w:r>
          </w:p>
          <w:p w14:paraId="3CDC9BA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Tehnologiile ce urmează a fi achiziționate, în conformitate cu cerințele caietelor de sarcini ce urmează a fi propuse, vor fi de ultimă generație, cu eficiență energetică ridicată.</w:t>
            </w:r>
          </w:p>
          <w:p w14:paraId="764C9ED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De asemenea, se vor respecta prevederile Codului de conduită privind eficiența energetică a data center-lor (Code of Conduct for Energy Efficiency in Data Centres – versiunea cea mai recentă, actualmente 2021), precum și a celor mai bune practici recomandate pentru managementul energiei.</w:t>
            </w:r>
          </w:p>
          <w:p w14:paraId="7476DFB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directivei privind eficiența energetică, inclusiv conceptul de clădire nZEB.</w:t>
            </w:r>
          </w:p>
        </w:tc>
      </w:tr>
      <w:tr w:rsidR="00EB3FCB" w:rsidRPr="00D973E7" w14:paraId="6C8E61C4" w14:textId="77777777" w:rsidTr="008E5146">
        <w:tc>
          <w:tcPr>
            <w:tcW w:w="3403" w:type="dxa"/>
          </w:tcPr>
          <w:p w14:paraId="0FE74687" w14:textId="77777777" w:rsidR="00EB3FCB" w:rsidRPr="00D973E7" w:rsidRDefault="00EB3FCB" w:rsidP="008E5146">
            <w:pPr>
              <w:spacing w:after="120"/>
              <w:rPr>
                <w:rFonts w:ascii="Times New Roman" w:hAnsi="Times New Roman" w:cs="Times New Roman"/>
                <w:i/>
                <w:sz w:val="20"/>
                <w:szCs w:val="20"/>
              </w:rPr>
            </w:pPr>
            <w:r w:rsidRPr="00D973E7">
              <w:rPr>
                <w:rFonts w:ascii="Times New Roman" w:hAnsi="Times New Roman" w:cs="Times New Roman"/>
                <w:sz w:val="20"/>
                <w:szCs w:val="20"/>
              </w:rPr>
              <w:t>Climate change adaptation</w:t>
            </w:r>
          </w:p>
        </w:tc>
        <w:tc>
          <w:tcPr>
            <w:tcW w:w="496" w:type="dxa"/>
          </w:tcPr>
          <w:p w14:paraId="36896C08"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51023138"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C2701A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Activitățile au impact redus asupra acestui obiectiv de mediu. </w:t>
            </w:r>
          </w:p>
          <w:p w14:paraId="5F77CC2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vizate în cadrul acestei investiții vor avea specificații care să le asigure durabilitatea în condițiile climatice unde urmează a fi instalate.</w:t>
            </w:r>
          </w:p>
          <w:p w14:paraId="11E07FAA"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Pentru activitățile unde este aplicabil, se vor efectua analize de risc climatic și de vulnerabilitate, iar soluțiile de adaptare rezultate ulterior derulării acestor analize vor fi implementate la nivelul măsurilor aferente investiției.</w:t>
            </w:r>
          </w:p>
        </w:tc>
      </w:tr>
      <w:tr w:rsidR="00EB3FCB" w:rsidRPr="00D973E7" w14:paraId="524F3466" w14:textId="77777777" w:rsidTr="008E5146">
        <w:tc>
          <w:tcPr>
            <w:tcW w:w="3403" w:type="dxa"/>
          </w:tcPr>
          <w:p w14:paraId="2D498135"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sustainable use and protection of water and marine resources</w:t>
            </w:r>
          </w:p>
        </w:tc>
        <w:tc>
          <w:tcPr>
            <w:tcW w:w="496" w:type="dxa"/>
          </w:tcPr>
          <w:p w14:paraId="77EEA265"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18D8FC3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5750D02D"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Activitățile nu au impact asupra protecției și utilizării durabile ale resurselor de apă și marine.</w:t>
            </w:r>
          </w:p>
        </w:tc>
      </w:tr>
      <w:tr w:rsidR="00EB3FCB" w:rsidRPr="00D973E7" w14:paraId="58F630C6" w14:textId="77777777" w:rsidTr="008E5146">
        <w:tc>
          <w:tcPr>
            <w:tcW w:w="3403" w:type="dxa"/>
          </w:tcPr>
          <w:p w14:paraId="439A1608"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circular economy, including waste prevention and recycling</w:t>
            </w:r>
          </w:p>
        </w:tc>
        <w:tc>
          <w:tcPr>
            <w:tcW w:w="496" w:type="dxa"/>
          </w:tcPr>
          <w:p w14:paraId="094BF6BE"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42459597"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02888F09"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Impactul asupra acestui obiectiv de mediu este insignifiant. </w:t>
            </w:r>
          </w:p>
          <w:p w14:paraId="4BE4033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lastRenderedPageBreak/>
              <w:t xml:space="preserve">Eventualele materialele rezultate în urma procesului de instalare a echipamentelor vor fi reciclate, conform prevederilor legale in vigoare. </w:t>
            </w:r>
          </w:p>
          <w:p w14:paraId="055B4E1E"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1AD07AD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Echipamentele utilizate nu conțin substanțele restricționate listate în Anexa II la Directiva 2011/65/EU.</w:t>
            </w:r>
          </w:p>
          <w:p w14:paraId="4B0453F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reflectatî și de proiectțiile financiare sau documentele oficiale ale proiectului. </w:t>
            </w:r>
          </w:p>
          <w:p w14:paraId="0015A20B"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tc>
      </w:tr>
      <w:tr w:rsidR="00EB3FCB" w:rsidRPr="00D973E7" w14:paraId="2EA4D471" w14:textId="77777777" w:rsidTr="008E5146">
        <w:tc>
          <w:tcPr>
            <w:tcW w:w="3403" w:type="dxa"/>
          </w:tcPr>
          <w:p w14:paraId="77B9FF48"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lastRenderedPageBreak/>
              <w:t>Pollution prevention and control to air, water or land</w:t>
            </w:r>
          </w:p>
        </w:tc>
        <w:tc>
          <w:tcPr>
            <w:tcW w:w="496" w:type="dxa"/>
          </w:tcPr>
          <w:p w14:paraId="35837574"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0F3DA63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B1DE22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Impactul asupra acestui obiectiv de mediu este insignifiant. </w:t>
            </w:r>
          </w:p>
          <w:p w14:paraId="547A7E2F"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 xml:space="preserve">Echipamentele și tehnologiile care vor fi achiziționate vor fi de ultimă generație, cu grad de poluare redus. </w:t>
            </w:r>
          </w:p>
          <w:p w14:paraId="7A47C6DC"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Soluțiile de digitalizare a pistelor și traseelor velo vor contribui la reducerea traficului și a poluării.</w:t>
            </w:r>
          </w:p>
        </w:tc>
      </w:tr>
      <w:tr w:rsidR="00EB3FCB" w:rsidRPr="00D973E7" w14:paraId="14CC9FD4" w14:textId="77777777" w:rsidTr="008E5146">
        <w:tc>
          <w:tcPr>
            <w:tcW w:w="3403" w:type="dxa"/>
          </w:tcPr>
          <w:p w14:paraId="0476C9E6" w14:textId="77777777" w:rsidR="00EB3FCB" w:rsidRPr="00D973E7" w:rsidRDefault="00EB3FCB" w:rsidP="008E5146">
            <w:pPr>
              <w:spacing w:after="120"/>
              <w:rPr>
                <w:rFonts w:ascii="Times New Roman" w:hAnsi="Times New Roman" w:cs="Times New Roman"/>
                <w:sz w:val="20"/>
                <w:szCs w:val="20"/>
              </w:rPr>
            </w:pPr>
            <w:r w:rsidRPr="00D973E7">
              <w:rPr>
                <w:rFonts w:ascii="Times New Roman" w:hAnsi="Times New Roman" w:cs="Times New Roman"/>
                <w:sz w:val="20"/>
                <w:szCs w:val="20"/>
              </w:rPr>
              <w:t>The protection and restoration of biodiversity and ecosystems</w:t>
            </w:r>
          </w:p>
        </w:tc>
        <w:tc>
          <w:tcPr>
            <w:tcW w:w="496" w:type="dxa"/>
          </w:tcPr>
          <w:p w14:paraId="5C2C1DAC" w14:textId="77777777" w:rsidR="00EB3FCB" w:rsidRPr="00D973E7" w:rsidRDefault="00EB3FCB" w:rsidP="008E5146">
            <w:pPr>
              <w:spacing w:after="120"/>
              <w:jc w:val="both"/>
              <w:rPr>
                <w:rFonts w:ascii="Times New Roman" w:hAnsi="Times New Roman" w:cs="Times New Roman"/>
                <w:sz w:val="20"/>
                <w:szCs w:val="20"/>
              </w:rPr>
            </w:pPr>
          </w:p>
        </w:tc>
        <w:tc>
          <w:tcPr>
            <w:tcW w:w="493" w:type="dxa"/>
          </w:tcPr>
          <w:p w14:paraId="237B3444"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x</w:t>
            </w:r>
          </w:p>
        </w:tc>
        <w:tc>
          <w:tcPr>
            <w:tcW w:w="4881" w:type="dxa"/>
          </w:tcPr>
          <w:p w14:paraId="4890D3F1"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Aceste intervenții nu dăunează semnificativ ecosistemelor, conservării habitatelor și speciilor.</w:t>
            </w:r>
          </w:p>
          <w:p w14:paraId="771FAA13" w14:textId="77777777" w:rsidR="00EB3FCB" w:rsidRPr="00D973E7" w:rsidRDefault="00EB3FCB" w:rsidP="008E5146">
            <w:pPr>
              <w:spacing w:after="120"/>
              <w:jc w:val="both"/>
              <w:rPr>
                <w:rFonts w:ascii="Times New Roman" w:hAnsi="Times New Roman" w:cs="Times New Roman"/>
                <w:sz w:val="20"/>
                <w:szCs w:val="20"/>
              </w:rPr>
            </w:pPr>
            <w:r w:rsidRPr="00D973E7">
              <w:rPr>
                <w:rFonts w:ascii="Times New Roman" w:hAnsi="Times New Roman" w:cs="Times New Roman"/>
                <w:sz w:val="20"/>
                <w:szCs w:val="20"/>
              </w:rPr>
              <w:t>Se vor respecta prevederile legislației specifice în domeniul biodiversității (inclusiv a Directivei Habitate, Directivei Păsări și Directivei privind EIA).</w:t>
            </w:r>
          </w:p>
        </w:tc>
      </w:tr>
    </w:tbl>
    <w:p w14:paraId="091C447D" w14:textId="77777777" w:rsidR="00EB3FCB" w:rsidRPr="00D973E7" w:rsidRDefault="00EB3FCB" w:rsidP="00EB3FCB">
      <w:pPr>
        <w:rPr>
          <w:rFonts w:ascii="Times New Roman" w:hAnsi="Times New Roman" w:cs="Times New Roman"/>
          <w:b/>
          <w:bCs/>
          <w:sz w:val="20"/>
          <w:szCs w:val="20"/>
        </w:rPr>
      </w:pPr>
    </w:p>
    <w:p w14:paraId="50CA7F5A" w14:textId="77777777" w:rsidR="009E1C69" w:rsidRPr="00D973E7" w:rsidRDefault="009E1C69">
      <w:pPr>
        <w:rPr>
          <w:rFonts w:ascii="Times New Roman" w:hAnsi="Times New Roman" w:cs="Times New Roman"/>
        </w:rPr>
      </w:pPr>
    </w:p>
    <w:sectPr w:rsidR="009E1C69" w:rsidRPr="00D9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25B14055"/>
    <w:multiLevelType w:val="hybridMultilevel"/>
    <w:tmpl w:val="94B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91526"/>
    <w:multiLevelType w:val="hybridMultilevel"/>
    <w:tmpl w:val="EE14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45F86"/>
    <w:multiLevelType w:val="hybridMultilevel"/>
    <w:tmpl w:val="C7EC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B6CC5"/>
    <w:multiLevelType w:val="hybridMultilevel"/>
    <w:tmpl w:val="3206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4172D"/>
    <w:multiLevelType w:val="hybridMultilevel"/>
    <w:tmpl w:val="AF4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2E"/>
    <w:rsid w:val="00451A51"/>
    <w:rsid w:val="00840E2E"/>
    <w:rsid w:val="009E1C69"/>
    <w:rsid w:val="00D25398"/>
    <w:rsid w:val="00D973E7"/>
    <w:rsid w:val="00EB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0F3"/>
  <w15:chartTrackingRefBased/>
  <w15:docId w15:val="{FDC42248-87C9-4ECF-B589-0CC816F3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C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FC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EB3FC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EB3FCB"/>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8973</Words>
  <Characters>51150</Characters>
  <Application>Microsoft Office Word</Application>
  <DocSecurity>0</DocSecurity>
  <Lines>426</Lines>
  <Paragraphs>120</Paragraphs>
  <ScaleCrop>false</ScaleCrop>
  <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Septimiu Szabo</cp:lastModifiedBy>
  <cp:revision>4</cp:revision>
  <dcterms:created xsi:type="dcterms:W3CDTF">2021-05-30T15:13:00Z</dcterms:created>
  <dcterms:modified xsi:type="dcterms:W3CDTF">2021-05-31T11:17:00Z</dcterms:modified>
</cp:coreProperties>
</file>