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5F" w:rsidRPr="0034178B" w:rsidRDefault="0034178B">
      <w:pPr>
        <w:rPr>
          <w:rFonts w:cstheme="minorHAnsi"/>
          <w:lang w:val="ro-RO"/>
        </w:rPr>
      </w:pPr>
      <w:bookmarkStart w:id="0" w:name="_Hlk72327307"/>
      <w:r>
        <w:rPr>
          <w:rFonts w:cstheme="minorHAnsi"/>
          <w:lang w:val="ro-RO"/>
        </w:rPr>
        <w:t>Profesionalizare în domeniul achizițiilor publice</w:t>
      </w:r>
      <w:bookmarkStart w:id="1" w:name="_GoBack"/>
      <w:bookmarkEnd w:id="1"/>
    </w:p>
    <w:p w:rsidR="0034178B" w:rsidRPr="005F62E6" w:rsidRDefault="0034178B">
      <w:pPr>
        <w:rPr>
          <w:rFonts w:cstheme="minorHAnsi"/>
          <w:lang w:val="ro-RO"/>
        </w:rPr>
      </w:pPr>
    </w:p>
    <w:tbl>
      <w:tblPr>
        <w:tblStyle w:val="TableGrid"/>
        <w:tblW w:w="4942" w:type="pct"/>
        <w:tblLayout w:type="fixed"/>
        <w:tblLook w:val="04A0" w:firstRow="1" w:lastRow="0" w:firstColumn="1" w:lastColumn="0" w:noHBand="0" w:noVBand="1"/>
      </w:tblPr>
      <w:tblGrid>
        <w:gridCol w:w="1974"/>
        <w:gridCol w:w="11701"/>
        <w:gridCol w:w="1277"/>
      </w:tblGrid>
      <w:tr w:rsidR="00936F98" w:rsidRPr="005F62E6" w:rsidTr="000D0F01">
        <w:trPr>
          <w:tblHeader/>
        </w:trPr>
        <w:tc>
          <w:tcPr>
            <w:tcW w:w="660" w:type="pct"/>
            <w:shd w:val="clear" w:color="auto" w:fill="F2F2F2" w:themeFill="background1" w:themeFillShade="F2"/>
          </w:tcPr>
          <w:p w:rsidR="00F1104A" w:rsidRPr="005F62E6" w:rsidRDefault="00F1104A" w:rsidP="00B76665">
            <w:pPr>
              <w:jc w:val="center"/>
              <w:rPr>
                <w:rFonts w:cstheme="minorHAnsi"/>
                <w:b/>
                <w:lang w:val="ro-RO"/>
              </w:rPr>
            </w:pPr>
            <w:r w:rsidRPr="005F62E6">
              <w:rPr>
                <w:rFonts w:cstheme="minorHAnsi"/>
                <w:b/>
                <w:lang w:val="ro-RO"/>
              </w:rPr>
              <w:t>Domeniul strategic sau</w:t>
            </w:r>
          </w:p>
          <w:p w:rsidR="00F1104A" w:rsidRPr="005F62E6" w:rsidRDefault="00F1104A" w:rsidP="00B76665">
            <w:pPr>
              <w:jc w:val="center"/>
              <w:rPr>
                <w:rFonts w:cstheme="minorHAnsi"/>
                <w:b/>
                <w:lang w:val="ro-RO"/>
              </w:rPr>
            </w:pPr>
            <w:r w:rsidRPr="005F62E6">
              <w:rPr>
                <w:rFonts w:cstheme="minorHAnsi"/>
                <w:b/>
                <w:lang w:val="ro-RO"/>
              </w:rPr>
              <w:t>Arie tehnica</w:t>
            </w:r>
          </w:p>
        </w:tc>
        <w:tc>
          <w:tcPr>
            <w:tcW w:w="3913" w:type="pct"/>
            <w:shd w:val="clear" w:color="auto" w:fill="F2F2F2" w:themeFill="background1" w:themeFillShade="F2"/>
          </w:tcPr>
          <w:p w:rsidR="00F1104A" w:rsidRPr="005F62E6" w:rsidRDefault="00F1104A" w:rsidP="00B76665">
            <w:pPr>
              <w:jc w:val="center"/>
              <w:rPr>
                <w:rFonts w:cstheme="minorHAnsi"/>
                <w:b/>
                <w:lang w:val="ro-RO"/>
              </w:rPr>
            </w:pPr>
            <w:r w:rsidRPr="005F62E6">
              <w:rPr>
                <w:rFonts w:cstheme="minorHAnsi"/>
                <w:b/>
                <w:lang w:val="ro-RO"/>
              </w:rPr>
              <w:t>PROIECTE CE POT FI FINANTATE PRIN PNRR – scurt sumar (inclusiv obiective de etapă/ milestones și ținte/ targets)</w:t>
            </w:r>
          </w:p>
        </w:tc>
        <w:tc>
          <w:tcPr>
            <w:tcW w:w="427" w:type="pct"/>
            <w:shd w:val="clear" w:color="auto" w:fill="F2F2F2" w:themeFill="background1" w:themeFillShade="F2"/>
          </w:tcPr>
          <w:p w:rsidR="00F1104A" w:rsidRPr="005F62E6" w:rsidRDefault="00F1104A" w:rsidP="00B76665">
            <w:pPr>
              <w:jc w:val="center"/>
              <w:rPr>
                <w:rFonts w:cstheme="minorHAnsi"/>
                <w:b/>
                <w:color w:val="000000" w:themeColor="text1"/>
                <w:lang w:val="ro-RO"/>
              </w:rPr>
            </w:pPr>
            <w:r w:rsidRPr="005F62E6">
              <w:rPr>
                <w:rFonts w:cstheme="minorHAnsi"/>
                <w:b/>
                <w:color w:val="000000" w:themeColor="text1"/>
                <w:lang w:val="ro-RO"/>
              </w:rPr>
              <w:t>PNRR</w:t>
            </w:r>
          </w:p>
          <w:p w:rsidR="00F1104A" w:rsidRPr="005F62E6" w:rsidRDefault="00F1104A" w:rsidP="00B76665">
            <w:pPr>
              <w:jc w:val="center"/>
              <w:rPr>
                <w:rFonts w:cstheme="minorHAnsi"/>
                <w:b/>
                <w:color w:val="000000" w:themeColor="text1"/>
                <w:lang w:val="ro-RO"/>
              </w:rPr>
            </w:pPr>
            <w:r w:rsidRPr="005F62E6">
              <w:rPr>
                <w:rFonts w:cstheme="minorHAnsi"/>
                <w:b/>
                <w:color w:val="000000" w:themeColor="text1"/>
                <w:lang w:val="ro-RO"/>
              </w:rPr>
              <w:t>BUGET</w:t>
            </w:r>
          </w:p>
          <w:p w:rsidR="00F1104A" w:rsidRPr="005F62E6" w:rsidRDefault="00F1104A" w:rsidP="00B76665">
            <w:pPr>
              <w:jc w:val="center"/>
              <w:rPr>
                <w:rFonts w:cstheme="minorHAnsi"/>
                <w:b/>
                <w:color w:val="000000" w:themeColor="text1"/>
                <w:lang w:val="ro-RO"/>
              </w:rPr>
            </w:pPr>
            <w:r w:rsidRPr="005F62E6">
              <w:rPr>
                <w:rFonts w:cstheme="minorHAnsi"/>
                <w:b/>
                <w:color w:val="000000" w:themeColor="text1"/>
                <w:lang w:val="ro-RO"/>
              </w:rPr>
              <w:t>EURO</w:t>
            </w:r>
          </w:p>
          <w:p w:rsidR="00F1104A" w:rsidRPr="005F62E6" w:rsidRDefault="00F1104A" w:rsidP="00B76665">
            <w:pPr>
              <w:jc w:val="center"/>
              <w:rPr>
                <w:rFonts w:cstheme="minorHAnsi"/>
                <w:b/>
                <w:color w:val="000000" w:themeColor="text1"/>
                <w:lang w:val="ro-RO"/>
              </w:rPr>
            </w:pPr>
            <w:r w:rsidRPr="005F62E6">
              <w:rPr>
                <w:rFonts w:cstheme="minorHAnsi"/>
                <w:b/>
                <w:color w:val="000000" w:themeColor="text1"/>
                <w:lang w:val="ro-RO"/>
              </w:rPr>
              <w:t>(total și defalcat pe ani)</w:t>
            </w:r>
          </w:p>
        </w:tc>
      </w:tr>
      <w:tr w:rsidR="000D0F01" w:rsidRPr="005F62E6" w:rsidTr="000D0F01">
        <w:tc>
          <w:tcPr>
            <w:tcW w:w="660" w:type="pct"/>
          </w:tcPr>
          <w:p w:rsidR="00F1104A" w:rsidRPr="0002148F" w:rsidRDefault="00F1104A" w:rsidP="00B76665">
            <w:pPr>
              <w:ind w:left="22"/>
              <w:jc w:val="both"/>
              <w:rPr>
                <w:rFonts w:cstheme="minorHAnsi"/>
                <w:lang w:val="ro-RO"/>
              </w:rPr>
            </w:pPr>
          </w:p>
        </w:tc>
        <w:tc>
          <w:tcPr>
            <w:tcW w:w="3913" w:type="pct"/>
          </w:tcPr>
          <w:p w:rsidR="00451118" w:rsidRDefault="00451118" w:rsidP="00451118">
            <w:pPr>
              <w:rPr>
                <w:rFonts w:cstheme="minorHAnsi"/>
                <w:lang w:val="ro-RO"/>
              </w:rPr>
            </w:pPr>
          </w:p>
          <w:p w:rsidR="00451118" w:rsidRPr="00451118" w:rsidRDefault="00451118" w:rsidP="00451118">
            <w:pPr>
              <w:rPr>
                <w:rFonts w:cstheme="minorHAnsi"/>
                <w:b/>
                <w:lang w:val="ro-RO"/>
              </w:rPr>
            </w:pPr>
            <w:r w:rsidRPr="00451118">
              <w:rPr>
                <w:rFonts w:cstheme="minorHAnsi"/>
                <w:b/>
                <w:lang w:val="ro-RO"/>
              </w:rPr>
              <w:t>Context</w:t>
            </w:r>
          </w:p>
          <w:p w:rsidR="00451118" w:rsidRDefault="00451118" w:rsidP="00451118">
            <w:pPr>
              <w:rPr>
                <w:rFonts w:cstheme="minorHAnsi"/>
                <w:lang w:val="ro-RO"/>
              </w:rPr>
            </w:pPr>
            <w:r w:rsidRPr="00451118">
              <w:rPr>
                <w:rFonts w:cstheme="minorHAnsi"/>
                <w:lang w:val="ro-RO"/>
              </w:rPr>
              <w:t>Complementar activității de profesionalizare desfășurată prin proiectul SIPOCA 625, se va continua procesul de profesionalizare, cu accent asupra marilor achizitori și a autorităților/entităților contractante care implementează pr</w:t>
            </w:r>
            <w:r>
              <w:rPr>
                <w:rFonts w:cstheme="minorHAnsi"/>
                <w:lang w:val="ro-RO"/>
              </w:rPr>
              <w:t xml:space="preserve">oiecte finanțate prin PNRR. </w:t>
            </w:r>
          </w:p>
          <w:p w:rsidR="00451118" w:rsidRDefault="00451118" w:rsidP="00451118">
            <w:pPr>
              <w:rPr>
                <w:rFonts w:cstheme="minorHAnsi"/>
                <w:lang w:val="ro-RO"/>
              </w:rPr>
            </w:pPr>
          </w:p>
          <w:p w:rsidR="00451118" w:rsidRDefault="00451118" w:rsidP="00451118">
            <w:pPr>
              <w:rPr>
                <w:rFonts w:cstheme="minorHAnsi"/>
                <w:lang w:val="ro-RO"/>
              </w:rPr>
            </w:pPr>
            <w:r w:rsidRPr="00451118">
              <w:rPr>
                <w:rFonts w:cstheme="minorHAnsi"/>
                <w:lang w:val="ro-RO"/>
              </w:rPr>
              <w:t>Prin intermediul proiectului SIPOCA 625 se va asigura formarea specializată pentru 130 persoane cu atribuții în domeniul achizițiilor publice din cadrul autorităților publice centrale şi subordonate ale acestora și 3.360 persoane din cadrul autorităților și</w:t>
            </w:r>
            <w:r>
              <w:rPr>
                <w:rFonts w:cstheme="minorHAnsi"/>
                <w:lang w:val="ro-RO"/>
              </w:rPr>
              <w:t xml:space="preserve"> instituțiilor publice locale. De asemenea se vor organiza programe de perfecționare pentru </w:t>
            </w:r>
            <w:r w:rsidRPr="00451118">
              <w:rPr>
                <w:rFonts w:cstheme="minorHAnsi"/>
                <w:lang w:val="ro-RO"/>
              </w:rPr>
              <w:t xml:space="preserve">350 de persoane din cadrul ANAP, </w:t>
            </w:r>
            <w:r>
              <w:rPr>
                <w:rFonts w:cstheme="minorHAnsi"/>
                <w:lang w:val="ro-RO"/>
              </w:rPr>
              <w:t xml:space="preserve">160 de aleşi locali </w:t>
            </w:r>
            <w:r w:rsidRPr="00451118">
              <w:rPr>
                <w:rFonts w:cstheme="minorHAnsi"/>
                <w:lang w:val="ro-RO"/>
              </w:rPr>
              <w:t>din cadrul consiliilor judeţene şi municipiilor şi pentru 100 de persoane responsabile cu verificarea internă în cadru</w:t>
            </w:r>
            <w:r>
              <w:rPr>
                <w:rFonts w:cstheme="minorHAnsi"/>
                <w:lang w:val="ro-RO"/>
              </w:rPr>
              <w:t>l autorităţilor contractante. Nevoia ridicată de formare și dezvoltare profesională în domeniul achizițiilor publice se înregistrează ș</w:t>
            </w:r>
            <w:r w:rsidR="00566F5A">
              <w:rPr>
                <w:rFonts w:cstheme="minorHAnsi"/>
                <w:lang w:val="ro-RO"/>
              </w:rPr>
              <w:t xml:space="preserve">i la nivel autorităților și instituțiilor publice de la nivel central, conform </w:t>
            </w:r>
          </w:p>
          <w:p w:rsidR="00451118" w:rsidRPr="00451118" w:rsidRDefault="00451118" w:rsidP="00451118">
            <w:pPr>
              <w:rPr>
                <w:rFonts w:cstheme="minorHAnsi"/>
                <w:lang w:val="ro-RO"/>
              </w:rPr>
            </w:pPr>
          </w:p>
          <w:p w:rsidR="00566F5A" w:rsidRDefault="00451118" w:rsidP="00451118">
            <w:pPr>
              <w:rPr>
                <w:rFonts w:cstheme="minorHAnsi"/>
                <w:lang w:val="ro-RO"/>
              </w:rPr>
            </w:pPr>
            <w:r w:rsidRPr="00451118">
              <w:rPr>
                <w:rFonts w:cstheme="minorHAnsi"/>
                <w:lang w:val="ro-RO"/>
              </w:rPr>
              <w:t>Măsura va fi implementată cu sprijinul unui proiect de asistență tehnică care vizează dezvoltarea</w:t>
            </w:r>
            <w:r w:rsidR="00566F5A">
              <w:rPr>
                <w:rFonts w:cstheme="minorHAnsi"/>
                <w:lang w:val="ro-RO"/>
              </w:rPr>
              <w:t xml:space="preserve"> și livrarea</w:t>
            </w:r>
            <w:r w:rsidRPr="00451118">
              <w:rPr>
                <w:rFonts w:cstheme="minorHAnsi"/>
                <w:lang w:val="ro-RO"/>
              </w:rPr>
              <w:t xml:space="preserve"> programului de finanțare formare specializată pe achiziții, realizat î</w:t>
            </w:r>
            <w:r w:rsidR="00566F5A">
              <w:rPr>
                <w:rFonts w:cstheme="minorHAnsi"/>
                <w:lang w:val="ro-RO"/>
              </w:rPr>
              <w:t xml:space="preserve">n cadrul proiectului SIPOCA 625, </w:t>
            </w:r>
            <w:r w:rsidR="00566F5A" w:rsidRPr="00451118">
              <w:rPr>
                <w:rFonts w:cstheme="minorHAnsi"/>
                <w:lang w:val="ro-RO"/>
              </w:rPr>
              <w:t xml:space="preserve">focusat pe domeniile finanțate prin PNRR și va cuprinde </w:t>
            </w:r>
            <w:r w:rsidR="00566F5A">
              <w:rPr>
                <w:rFonts w:cstheme="minorHAnsi"/>
                <w:lang w:val="ro-RO"/>
              </w:rPr>
              <w:t xml:space="preserve">și </w:t>
            </w:r>
            <w:r w:rsidR="00566F5A" w:rsidRPr="00451118">
              <w:rPr>
                <w:rFonts w:cstheme="minorHAnsi"/>
                <w:lang w:val="ro-RO"/>
              </w:rPr>
              <w:t>asistență punctuală pentru integrarea bunelor practici prezentate la curs în derularea diverselor proceduri.</w:t>
            </w:r>
            <w:r w:rsidR="00566F5A">
              <w:rPr>
                <w:rFonts w:cstheme="minorHAnsi"/>
                <w:lang w:val="ro-RO"/>
              </w:rPr>
              <w:t xml:space="preserve"> </w:t>
            </w:r>
            <w:r w:rsidR="00566F5A" w:rsidRPr="00566F5A">
              <w:rPr>
                <w:rFonts w:cstheme="minorHAnsi"/>
                <w:lang w:val="ro-RO"/>
              </w:rPr>
              <w:t>Cel putin 350 de funcționari publici</w:t>
            </w:r>
            <w:r w:rsidR="00566F5A">
              <w:rPr>
                <w:rFonts w:cstheme="minorHAnsi"/>
                <w:lang w:val="ro-RO"/>
              </w:rPr>
              <w:t xml:space="preserve"> și personal contractual</w:t>
            </w:r>
            <w:r w:rsidR="00566F5A" w:rsidRPr="00566F5A">
              <w:rPr>
                <w:rFonts w:cstheme="minorHAnsi"/>
                <w:lang w:val="ro-RO"/>
              </w:rPr>
              <w:t xml:space="preserve"> </w:t>
            </w:r>
            <w:r w:rsidR="00566F5A">
              <w:rPr>
                <w:rFonts w:cstheme="minorHAnsi"/>
                <w:lang w:val="ro-RO"/>
              </w:rPr>
              <w:t>vor beneficia</w:t>
            </w:r>
            <w:r w:rsidR="00566F5A" w:rsidRPr="00566F5A">
              <w:rPr>
                <w:rFonts w:cstheme="minorHAnsi"/>
                <w:lang w:val="ro-RO"/>
              </w:rPr>
              <w:t xml:space="preserve"> de formare specializată în domeniul achizițiilor publice, cu prioritizarea reprezentanților marilor companii de stat și a altor contractori importanți care derulează investiții prin PNRR</w:t>
            </w:r>
            <w:r w:rsidR="00566F5A">
              <w:rPr>
                <w:rFonts w:cstheme="minorHAnsi"/>
                <w:lang w:val="ro-RO"/>
              </w:rPr>
              <w:t>.</w:t>
            </w:r>
          </w:p>
          <w:p w:rsidR="00566F5A" w:rsidRDefault="00566F5A" w:rsidP="00451118">
            <w:pPr>
              <w:rPr>
                <w:rFonts w:cstheme="minorHAnsi"/>
                <w:lang w:val="ro-RO"/>
              </w:rPr>
            </w:pPr>
          </w:p>
          <w:p w:rsidR="00566F5A" w:rsidRDefault="00566F5A" w:rsidP="00566F5A">
            <w:pPr>
              <w:rPr>
                <w:rFonts w:cstheme="minorHAnsi"/>
                <w:lang w:val="ro-RO"/>
              </w:rPr>
            </w:pPr>
            <w:r>
              <w:rPr>
                <w:rFonts w:cstheme="minorHAnsi"/>
                <w:lang w:val="ro-RO"/>
              </w:rPr>
              <w:t>Programul de formare specializată este constituit din 4 module</w:t>
            </w:r>
            <w:r w:rsidR="00C569FE">
              <w:rPr>
                <w:rFonts w:cstheme="minorHAnsi"/>
                <w:lang w:val="ro-RO"/>
              </w:rPr>
              <w:t xml:space="preserve"> online</w:t>
            </w:r>
            <w:r>
              <w:rPr>
                <w:rFonts w:cstheme="minorHAnsi"/>
                <w:lang w:val="ro-RO"/>
              </w:rPr>
              <w:t xml:space="preserve"> cu o durată totală de 120 ore și include sesiuni de autoînvățare, webinarii, aplicații practice și teste de verificare a cunoștințelor.  Programul de formare va fi adaptat pentru aproximativ 8 </w:t>
            </w:r>
            <w:r w:rsidR="00C569FE">
              <w:rPr>
                <w:rFonts w:cstheme="minorHAnsi"/>
                <w:lang w:val="ro-RO"/>
              </w:rPr>
              <w:t xml:space="preserve">arii </w:t>
            </w:r>
            <w:r>
              <w:rPr>
                <w:rFonts w:cstheme="minorHAnsi"/>
                <w:lang w:val="ro-RO"/>
              </w:rPr>
              <w:t>majore (t</w:t>
            </w:r>
            <w:r w:rsidR="00C569FE">
              <w:rPr>
                <w:rFonts w:cstheme="minorHAnsi"/>
                <w:lang w:val="ro-RO"/>
              </w:rPr>
              <w:t>ransport, mobilitate, infrastructură, digital, mediu, social</w:t>
            </w:r>
            <w:r>
              <w:rPr>
                <w:rFonts w:cstheme="minorHAnsi"/>
                <w:lang w:val="ro-RO"/>
              </w:rPr>
              <w:t>, sănătate, educație</w:t>
            </w:r>
            <w:r w:rsidR="00C569FE">
              <w:rPr>
                <w:rFonts w:cstheme="minorHAnsi"/>
                <w:lang w:val="ro-RO"/>
              </w:rPr>
              <w:t xml:space="preserve"> ) și va include exemple, bune practici, exerciții și studii de caz din domeniile abordate. </w:t>
            </w:r>
          </w:p>
          <w:p w:rsidR="00451118" w:rsidRDefault="00566F5A" w:rsidP="00566F5A">
            <w:pPr>
              <w:rPr>
                <w:rFonts w:cstheme="minorHAnsi"/>
                <w:lang w:val="ro-RO"/>
              </w:rPr>
            </w:pPr>
            <w:r w:rsidRPr="00566F5A">
              <w:rPr>
                <w:rFonts w:cstheme="minorHAnsi"/>
                <w:lang w:val="ro-RO"/>
              </w:rPr>
              <w:tab/>
            </w:r>
          </w:p>
          <w:p w:rsidR="00451118" w:rsidRPr="00C569FE" w:rsidRDefault="00451118" w:rsidP="00451118">
            <w:pPr>
              <w:rPr>
                <w:rFonts w:cstheme="minorHAnsi"/>
                <w:b/>
                <w:lang w:val="ro-RO"/>
              </w:rPr>
            </w:pPr>
            <w:r w:rsidRPr="00C569FE">
              <w:rPr>
                <w:rFonts w:cstheme="minorHAnsi"/>
                <w:b/>
                <w:lang w:val="ro-RO"/>
              </w:rPr>
              <w:t>Obiective</w:t>
            </w:r>
          </w:p>
          <w:p w:rsidR="00C569FE" w:rsidRPr="00C569FE" w:rsidRDefault="00C569FE" w:rsidP="008474F3">
            <w:pPr>
              <w:pStyle w:val="ListParagraph"/>
              <w:numPr>
                <w:ilvl w:val="0"/>
                <w:numId w:val="3"/>
              </w:numPr>
              <w:rPr>
                <w:rFonts w:cstheme="minorHAnsi"/>
                <w:lang w:val="ro-RO"/>
              </w:rPr>
            </w:pPr>
            <w:r>
              <w:rPr>
                <w:rFonts w:cstheme="minorHAnsi"/>
                <w:lang w:val="ro-RO"/>
              </w:rPr>
              <w:t>Adaptarea și dezvoltarea unui program de formare de formare specializată în domeniul achizițiilor publice pentru aprox. 8 arii majore de intervenții  finanțate prin PNRR;</w:t>
            </w:r>
          </w:p>
          <w:p w:rsidR="00C569FE" w:rsidRDefault="00C569FE" w:rsidP="008474F3">
            <w:pPr>
              <w:pStyle w:val="ListParagraph"/>
              <w:numPr>
                <w:ilvl w:val="0"/>
                <w:numId w:val="3"/>
              </w:numPr>
              <w:rPr>
                <w:rFonts w:cstheme="minorHAnsi"/>
                <w:lang w:val="ro-RO"/>
              </w:rPr>
            </w:pPr>
            <w:r>
              <w:rPr>
                <w:rFonts w:cstheme="minorHAnsi"/>
                <w:lang w:val="ro-RO"/>
              </w:rPr>
              <w:t xml:space="preserve">Formarea specializată </w:t>
            </w:r>
            <w:r w:rsidR="009974C0" w:rsidRPr="00C569FE">
              <w:rPr>
                <w:rFonts w:cstheme="minorHAnsi"/>
                <w:lang w:val="ro-RO"/>
              </w:rPr>
              <w:t>în domeniul achizițiilor publice</w:t>
            </w:r>
            <w:r w:rsidR="009974C0">
              <w:rPr>
                <w:rFonts w:cstheme="minorHAnsi"/>
                <w:lang w:val="ro-RO"/>
              </w:rPr>
              <w:t xml:space="preserve"> </w:t>
            </w:r>
            <w:r>
              <w:rPr>
                <w:rFonts w:cstheme="minorHAnsi"/>
                <w:lang w:val="ro-RO"/>
              </w:rPr>
              <w:t xml:space="preserve">a cel puțin </w:t>
            </w:r>
            <w:r w:rsidRPr="00C569FE">
              <w:rPr>
                <w:rFonts w:cstheme="minorHAnsi"/>
                <w:lang w:val="ro-RO"/>
              </w:rPr>
              <w:t>350 de funcționari publici și personal contractual</w:t>
            </w:r>
            <w:r w:rsidR="009974C0">
              <w:rPr>
                <w:rFonts w:cstheme="minorHAnsi"/>
                <w:lang w:val="ro-RO"/>
              </w:rPr>
              <w:t xml:space="preserve"> din autorități contractante care implmentează proiecte finanțate prin PNRR</w:t>
            </w:r>
            <w:r>
              <w:rPr>
                <w:rFonts w:cstheme="minorHAnsi"/>
                <w:lang w:val="ro-RO"/>
              </w:rPr>
              <w:t>;</w:t>
            </w:r>
          </w:p>
          <w:p w:rsidR="00C569FE" w:rsidRPr="00C569FE" w:rsidRDefault="00C569FE" w:rsidP="008474F3">
            <w:pPr>
              <w:pStyle w:val="ListParagraph"/>
              <w:numPr>
                <w:ilvl w:val="0"/>
                <w:numId w:val="3"/>
              </w:numPr>
              <w:rPr>
                <w:rFonts w:cstheme="minorHAnsi"/>
                <w:lang w:val="ro-RO"/>
              </w:rPr>
            </w:pPr>
            <w:r>
              <w:rPr>
                <w:rFonts w:cstheme="minorHAnsi"/>
                <w:lang w:val="ro-RO"/>
              </w:rPr>
              <w:lastRenderedPageBreak/>
              <w:t xml:space="preserve">Furnizarea de asistență tehnică pentru </w:t>
            </w:r>
            <w:r w:rsidRPr="00C569FE">
              <w:rPr>
                <w:rFonts w:cstheme="minorHAnsi"/>
                <w:lang w:val="ro-RO"/>
              </w:rPr>
              <w:t xml:space="preserve">pentru integrarea bunelor practici prezentate </w:t>
            </w:r>
            <w:r>
              <w:rPr>
                <w:rFonts w:cstheme="minorHAnsi"/>
                <w:lang w:val="ro-RO"/>
              </w:rPr>
              <w:t>la curs în derularea a cel puțin 10 proceduri de AP din ariile de intervenții finanțate prin PNRR</w:t>
            </w:r>
            <w:r w:rsidRPr="00C569FE">
              <w:rPr>
                <w:rFonts w:cstheme="minorHAnsi"/>
                <w:lang w:val="ro-RO"/>
              </w:rPr>
              <w:t>.</w:t>
            </w:r>
          </w:p>
          <w:p w:rsidR="009974C0" w:rsidRDefault="009974C0" w:rsidP="00451118">
            <w:pPr>
              <w:rPr>
                <w:rFonts w:cstheme="minorHAnsi"/>
                <w:lang w:val="ro-RO"/>
              </w:rPr>
            </w:pPr>
          </w:p>
          <w:p w:rsidR="00451118" w:rsidRPr="00175C68" w:rsidRDefault="00451118" w:rsidP="00451118">
            <w:pPr>
              <w:rPr>
                <w:rFonts w:cstheme="minorHAnsi"/>
                <w:b/>
                <w:lang w:val="ro-RO"/>
              </w:rPr>
            </w:pPr>
            <w:r w:rsidRPr="00175C68">
              <w:rPr>
                <w:rFonts w:cstheme="minorHAnsi"/>
                <w:b/>
                <w:lang w:val="ro-RO"/>
              </w:rPr>
              <w:t>Modalități de implementare</w:t>
            </w:r>
          </w:p>
          <w:p w:rsidR="009974C0" w:rsidRDefault="009974C0" w:rsidP="009974C0">
            <w:pPr>
              <w:rPr>
                <w:rFonts w:cstheme="minorHAnsi"/>
                <w:lang w:val="ro-RO"/>
              </w:rPr>
            </w:pPr>
          </w:p>
          <w:p w:rsidR="009974C0" w:rsidRDefault="009974C0" w:rsidP="009974C0">
            <w:pPr>
              <w:rPr>
                <w:rFonts w:cstheme="minorHAnsi"/>
                <w:lang w:val="ro-RO"/>
              </w:rPr>
            </w:pPr>
            <w:r>
              <w:rPr>
                <w:rFonts w:cstheme="minorHAnsi"/>
                <w:lang w:val="ro-RO"/>
              </w:rPr>
              <w:t>-Servicii de adaptare materiale de formare, dezvoltare și digitalizare conținut (8 pachete x 30 Man days x 1450 euro/zi = 348.000 euro)</w:t>
            </w:r>
          </w:p>
          <w:p w:rsidR="009974C0" w:rsidRDefault="009974C0" w:rsidP="009974C0">
            <w:pPr>
              <w:rPr>
                <w:rFonts w:cstheme="minorHAnsi"/>
                <w:lang w:val="ro-RO"/>
              </w:rPr>
            </w:pPr>
            <w:r>
              <w:rPr>
                <w:rFonts w:cstheme="minorHAnsi"/>
                <w:lang w:val="ro-RO"/>
              </w:rPr>
              <w:t xml:space="preserve">-Servicii de formare (10 programe formare x 2 formatori x 20 zile de formare x  1450 euro/zi = 580.000 euro; de asemenea este inclusa activitatea </w:t>
            </w:r>
            <w:r w:rsidR="00175C68">
              <w:rPr>
                <w:rFonts w:cstheme="minorHAnsi"/>
                <w:lang w:val="ro-RO"/>
              </w:rPr>
              <w:t>de management a formării: organizare, înregistrare, asistența participanților și certificare</w:t>
            </w:r>
            <w:r>
              <w:rPr>
                <w:rFonts w:cstheme="minorHAnsi"/>
                <w:lang w:val="ro-RO"/>
              </w:rPr>
              <w:t>)</w:t>
            </w:r>
          </w:p>
          <w:p w:rsidR="009974C0" w:rsidRDefault="009974C0" w:rsidP="009974C0">
            <w:pPr>
              <w:rPr>
                <w:rFonts w:cstheme="minorHAnsi"/>
                <w:lang w:val="ro-RO"/>
              </w:rPr>
            </w:pPr>
            <w:r>
              <w:rPr>
                <w:rFonts w:cstheme="minorHAnsi"/>
                <w:lang w:val="ro-RO"/>
              </w:rPr>
              <w:t>-Servicii de asistență tehnică ( 15 proceduri x 16 zile asistență x 1450 euro/zi = 348.000 euro)</w:t>
            </w:r>
          </w:p>
          <w:p w:rsidR="008D7956" w:rsidRDefault="009974C0" w:rsidP="009974C0">
            <w:pPr>
              <w:rPr>
                <w:rFonts w:cstheme="minorHAnsi"/>
                <w:lang w:val="ro-RO"/>
              </w:rPr>
            </w:pPr>
            <w:r>
              <w:rPr>
                <w:rFonts w:cstheme="minorHAnsi"/>
                <w:lang w:val="ro-RO"/>
              </w:rPr>
              <w:t xml:space="preserve">- Total: </w:t>
            </w:r>
            <w:r w:rsidRPr="009974C0">
              <w:rPr>
                <w:rFonts w:cstheme="minorHAnsi"/>
                <w:b/>
                <w:lang w:val="ro-RO"/>
              </w:rPr>
              <w:t>1.276.000 euro</w:t>
            </w:r>
          </w:p>
          <w:p w:rsidR="009974C0" w:rsidRPr="0002148F" w:rsidRDefault="009974C0" w:rsidP="009974C0">
            <w:pPr>
              <w:rPr>
                <w:rFonts w:cstheme="minorHAnsi"/>
                <w:lang w:val="ro-RO"/>
              </w:rPr>
            </w:pPr>
          </w:p>
        </w:tc>
        <w:tc>
          <w:tcPr>
            <w:tcW w:w="427" w:type="pct"/>
          </w:tcPr>
          <w:p w:rsidR="00F1104A" w:rsidRPr="0002148F" w:rsidRDefault="009974C0" w:rsidP="00B76665">
            <w:pPr>
              <w:jc w:val="center"/>
              <w:rPr>
                <w:rFonts w:cstheme="minorHAnsi"/>
                <w:b/>
                <w:color w:val="FF0000"/>
                <w:lang w:val="ro-RO"/>
              </w:rPr>
            </w:pPr>
            <w:r w:rsidRPr="009974C0">
              <w:rPr>
                <w:rFonts w:cstheme="minorHAnsi"/>
                <w:b/>
                <w:color w:val="FF0000"/>
                <w:lang w:val="ro-RO"/>
              </w:rPr>
              <w:lastRenderedPageBreak/>
              <w:t>1.276.000 euro</w:t>
            </w:r>
          </w:p>
        </w:tc>
      </w:tr>
      <w:bookmarkEnd w:id="0"/>
    </w:tbl>
    <w:p w:rsidR="003A145F" w:rsidRPr="005F62E6" w:rsidRDefault="003A145F">
      <w:pPr>
        <w:rPr>
          <w:rFonts w:cstheme="minorHAnsi"/>
          <w:lang w:val="ro-RO"/>
        </w:rPr>
      </w:pPr>
    </w:p>
    <w:sectPr w:rsidR="003A145F" w:rsidRPr="005F62E6" w:rsidSect="00B76665">
      <w:headerReference w:type="even" r:id="rId7"/>
      <w:headerReference w:type="default" r:id="rId8"/>
      <w:footerReference w:type="even" r:id="rId9"/>
      <w:footerReference w:type="default" r:id="rId10"/>
      <w:headerReference w:type="first" r:id="rId11"/>
      <w:footerReference w:type="first" r:id="rId12"/>
      <w:pgSz w:w="16839" w:h="11907" w:orient="landscape" w:code="9"/>
      <w:pgMar w:top="851" w:right="851" w:bottom="851" w:left="851" w:header="720" w:footer="30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B831" w16cex:dateUtc="2021-05-18T19:03:00Z"/>
  <w16cex:commentExtensible w16cex:durableId="244EB9CF" w16cex:dateUtc="2021-05-18T19:10:00Z"/>
  <w16cex:commentExtensible w16cex:durableId="244EBB09" w16cex:dateUtc="2021-05-18T19:15:00Z"/>
  <w16cex:commentExtensible w16cex:durableId="244CEFE5" w16cex:dateUtc="2021-05-17T17: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3B" w:rsidRDefault="0094323B" w:rsidP="00FB5573">
      <w:r>
        <w:separator/>
      </w:r>
    </w:p>
  </w:endnote>
  <w:endnote w:type="continuationSeparator" w:id="0">
    <w:p w:rsidR="0094323B" w:rsidRDefault="0094323B" w:rsidP="00F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78" w:rsidRDefault="00BF5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421330"/>
      <w:docPartObj>
        <w:docPartGallery w:val="Page Numbers (Bottom of Page)"/>
        <w:docPartUnique/>
      </w:docPartObj>
    </w:sdtPr>
    <w:sdtEndPr>
      <w:rPr>
        <w:noProof/>
      </w:rPr>
    </w:sdtEndPr>
    <w:sdtContent>
      <w:p w:rsidR="00BF5178" w:rsidRDefault="00BF5178">
        <w:pPr>
          <w:pStyle w:val="Footer"/>
          <w:jc w:val="center"/>
        </w:pPr>
        <w:r>
          <w:fldChar w:fldCharType="begin"/>
        </w:r>
        <w:r>
          <w:instrText xml:space="preserve"> PAGE   \* MERGEFORMAT </w:instrText>
        </w:r>
        <w:r>
          <w:fldChar w:fldCharType="separate"/>
        </w:r>
        <w:r w:rsidR="0034178B">
          <w:rPr>
            <w:noProof/>
          </w:rPr>
          <w:t>2</w:t>
        </w:r>
        <w:r>
          <w:rPr>
            <w:noProof/>
          </w:rPr>
          <w:fldChar w:fldCharType="end"/>
        </w:r>
      </w:p>
    </w:sdtContent>
  </w:sdt>
  <w:p w:rsidR="00BF5178" w:rsidRDefault="00BF5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78" w:rsidRDefault="00BF5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3B" w:rsidRDefault="0094323B" w:rsidP="00FB5573">
      <w:r>
        <w:separator/>
      </w:r>
    </w:p>
  </w:footnote>
  <w:footnote w:type="continuationSeparator" w:id="0">
    <w:p w:rsidR="0094323B" w:rsidRDefault="0094323B" w:rsidP="00FB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78" w:rsidRDefault="00BF5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78" w:rsidRDefault="00BF5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78" w:rsidRDefault="00BF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796"/>
    <w:multiLevelType w:val="hybridMultilevel"/>
    <w:tmpl w:val="1F148DAC"/>
    <w:styleLink w:val="Dash"/>
    <w:lvl w:ilvl="0" w:tplc="6470843E">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1" w:tplc="AAD09450">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2" w:tplc="5CD4932E">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3" w:tplc="BAEEB2F2">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4" w:tplc="A3928326">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5" w:tplc="D2E41BBA">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6" w:tplc="0180E1BC">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7" w:tplc="8FF414D0">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8" w:tplc="C7CC7FF4">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0DC56ACE"/>
    <w:multiLevelType w:val="hybridMultilevel"/>
    <w:tmpl w:val="65B8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C6334"/>
    <w:multiLevelType w:val="hybridMultilevel"/>
    <w:tmpl w:val="1ABE6A5C"/>
    <w:styleLink w:val="Bullet"/>
    <w:lvl w:ilvl="0" w:tplc="E73223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A8A321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2F8593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61EA1F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8F0A3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B40B8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EDC1D1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04A82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3E41D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68"/>
    <w:rsid w:val="00003764"/>
    <w:rsid w:val="000070B7"/>
    <w:rsid w:val="00011954"/>
    <w:rsid w:val="0002148F"/>
    <w:rsid w:val="00031BDC"/>
    <w:rsid w:val="000346B6"/>
    <w:rsid w:val="00060382"/>
    <w:rsid w:val="00082090"/>
    <w:rsid w:val="00082400"/>
    <w:rsid w:val="000902F3"/>
    <w:rsid w:val="0009044C"/>
    <w:rsid w:val="000A16A2"/>
    <w:rsid w:val="000A372F"/>
    <w:rsid w:val="000A59C3"/>
    <w:rsid w:val="000A6E76"/>
    <w:rsid w:val="000B3414"/>
    <w:rsid w:val="000B5189"/>
    <w:rsid w:val="000B78D4"/>
    <w:rsid w:val="000D0F01"/>
    <w:rsid w:val="000F59EF"/>
    <w:rsid w:val="00101C81"/>
    <w:rsid w:val="0010538A"/>
    <w:rsid w:val="00106C46"/>
    <w:rsid w:val="00112EA7"/>
    <w:rsid w:val="00124037"/>
    <w:rsid w:val="00130D54"/>
    <w:rsid w:val="00137F46"/>
    <w:rsid w:val="00166BD9"/>
    <w:rsid w:val="001721ED"/>
    <w:rsid w:val="00175C68"/>
    <w:rsid w:val="001834EF"/>
    <w:rsid w:val="0018692F"/>
    <w:rsid w:val="0019284A"/>
    <w:rsid w:val="00193FF8"/>
    <w:rsid w:val="00194708"/>
    <w:rsid w:val="001A5B0E"/>
    <w:rsid w:val="001C7079"/>
    <w:rsid w:val="001E2D05"/>
    <w:rsid w:val="001E68DE"/>
    <w:rsid w:val="001F2633"/>
    <w:rsid w:val="002033D7"/>
    <w:rsid w:val="002078F7"/>
    <w:rsid w:val="00207B34"/>
    <w:rsid w:val="00210A17"/>
    <w:rsid w:val="00220C70"/>
    <w:rsid w:val="002375E6"/>
    <w:rsid w:val="00243971"/>
    <w:rsid w:val="00247D68"/>
    <w:rsid w:val="00253CD3"/>
    <w:rsid w:val="00263179"/>
    <w:rsid w:val="00263836"/>
    <w:rsid w:val="00274DB7"/>
    <w:rsid w:val="0027725D"/>
    <w:rsid w:val="00294CB4"/>
    <w:rsid w:val="00296FAA"/>
    <w:rsid w:val="002A5930"/>
    <w:rsid w:val="002B5467"/>
    <w:rsid w:val="002C6B12"/>
    <w:rsid w:val="002C6C02"/>
    <w:rsid w:val="002D1EB4"/>
    <w:rsid w:val="002D7E46"/>
    <w:rsid w:val="002E4845"/>
    <w:rsid w:val="002F52F7"/>
    <w:rsid w:val="002F6F19"/>
    <w:rsid w:val="00306A2B"/>
    <w:rsid w:val="00310C72"/>
    <w:rsid w:val="00320B4D"/>
    <w:rsid w:val="00336DA0"/>
    <w:rsid w:val="0034178B"/>
    <w:rsid w:val="0034241A"/>
    <w:rsid w:val="00351F25"/>
    <w:rsid w:val="003726C2"/>
    <w:rsid w:val="00376CFB"/>
    <w:rsid w:val="00382CD2"/>
    <w:rsid w:val="00395D0A"/>
    <w:rsid w:val="003A145F"/>
    <w:rsid w:val="003A4302"/>
    <w:rsid w:val="003B06D9"/>
    <w:rsid w:val="003B76A7"/>
    <w:rsid w:val="003C7C0B"/>
    <w:rsid w:val="003C7D7A"/>
    <w:rsid w:val="003E297F"/>
    <w:rsid w:val="003E7965"/>
    <w:rsid w:val="003F1EC5"/>
    <w:rsid w:val="003F55EF"/>
    <w:rsid w:val="003F5C95"/>
    <w:rsid w:val="00400733"/>
    <w:rsid w:val="00404B86"/>
    <w:rsid w:val="004065D0"/>
    <w:rsid w:val="00410E4E"/>
    <w:rsid w:val="00436B72"/>
    <w:rsid w:val="004414D2"/>
    <w:rsid w:val="00447C7B"/>
    <w:rsid w:val="00451118"/>
    <w:rsid w:val="00452A51"/>
    <w:rsid w:val="0046335D"/>
    <w:rsid w:val="0046470E"/>
    <w:rsid w:val="0046680F"/>
    <w:rsid w:val="00480483"/>
    <w:rsid w:val="00482DFE"/>
    <w:rsid w:val="00490B78"/>
    <w:rsid w:val="00495428"/>
    <w:rsid w:val="004A19B7"/>
    <w:rsid w:val="004A59A7"/>
    <w:rsid w:val="004B5D51"/>
    <w:rsid w:val="004C1F5C"/>
    <w:rsid w:val="004D2A84"/>
    <w:rsid w:val="004E349B"/>
    <w:rsid w:val="005013C0"/>
    <w:rsid w:val="005135EA"/>
    <w:rsid w:val="00517A3B"/>
    <w:rsid w:val="005218DC"/>
    <w:rsid w:val="00525060"/>
    <w:rsid w:val="005262E4"/>
    <w:rsid w:val="00526667"/>
    <w:rsid w:val="00544A95"/>
    <w:rsid w:val="00554AEE"/>
    <w:rsid w:val="00557933"/>
    <w:rsid w:val="005611A7"/>
    <w:rsid w:val="00566F5A"/>
    <w:rsid w:val="00567D65"/>
    <w:rsid w:val="00567D8A"/>
    <w:rsid w:val="00570DDB"/>
    <w:rsid w:val="00575FDF"/>
    <w:rsid w:val="00580B42"/>
    <w:rsid w:val="0058238D"/>
    <w:rsid w:val="005859F6"/>
    <w:rsid w:val="00587983"/>
    <w:rsid w:val="005B5F7F"/>
    <w:rsid w:val="005B7297"/>
    <w:rsid w:val="005C0847"/>
    <w:rsid w:val="005C30B3"/>
    <w:rsid w:val="005C4CF5"/>
    <w:rsid w:val="005D3124"/>
    <w:rsid w:val="005F24CE"/>
    <w:rsid w:val="005F62E6"/>
    <w:rsid w:val="00601161"/>
    <w:rsid w:val="0061341F"/>
    <w:rsid w:val="006167E6"/>
    <w:rsid w:val="006227AC"/>
    <w:rsid w:val="00624AA1"/>
    <w:rsid w:val="00626AC2"/>
    <w:rsid w:val="00633426"/>
    <w:rsid w:val="00634331"/>
    <w:rsid w:val="00641A97"/>
    <w:rsid w:val="0064786A"/>
    <w:rsid w:val="00651641"/>
    <w:rsid w:val="00651DA8"/>
    <w:rsid w:val="00665E2F"/>
    <w:rsid w:val="0066647F"/>
    <w:rsid w:val="00670A4F"/>
    <w:rsid w:val="006819A7"/>
    <w:rsid w:val="0068456F"/>
    <w:rsid w:val="00687E04"/>
    <w:rsid w:val="006A65A9"/>
    <w:rsid w:val="006B6230"/>
    <w:rsid w:val="006C6BED"/>
    <w:rsid w:val="006C74D6"/>
    <w:rsid w:val="006E46E9"/>
    <w:rsid w:val="006E4B7F"/>
    <w:rsid w:val="006F761A"/>
    <w:rsid w:val="0070019E"/>
    <w:rsid w:val="00701BA9"/>
    <w:rsid w:val="00733E64"/>
    <w:rsid w:val="00735593"/>
    <w:rsid w:val="00737251"/>
    <w:rsid w:val="00741FA4"/>
    <w:rsid w:val="00742E3D"/>
    <w:rsid w:val="007566C7"/>
    <w:rsid w:val="00782671"/>
    <w:rsid w:val="007873E2"/>
    <w:rsid w:val="007A0E37"/>
    <w:rsid w:val="007A16D8"/>
    <w:rsid w:val="007A2B9A"/>
    <w:rsid w:val="007A6BBB"/>
    <w:rsid w:val="007B08F2"/>
    <w:rsid w:val="007B4A49"/>
    <w:rsid w:val="007C1275"/>
    <w:rsid w:val="007D49F9"/>
    <w:rsid w:val="007E5A0D"/>
    <w:rsid w:val="007E62FA"/>
    <w:rsid w:val="00815412"/>
    <w:rsid w:val="00834530"/>
    <w:rsid w:val="00840EDF"/>
    <w:rsid w:val="008458CD"/>
    <w:rsid w:val="008474F3"/>
    <w:rsid w:val="00847A77"/>
    <w:rsid w:val="00857929"/>
    <w:rsid w:val="008630A5"/>
    <w:rsid w:val="00871D76"/>
    <w:rsid w:val="0088251A"/>
    <w:rsid w:val="008968DC"/>
    <w:rsid w:val="008A1DB6"/>
    <w:rsid w:val="008A32E6"/>
    <w:rsid w:val="008A3944"/>
    <w:rsid w:val="008A461C"/>
    <w:rsid w:val="008B7B56"/>
    <w:rsid w:val="008C1B45"/>
    <w:rsid w:val="008D00D3"/>
    <w:rsid w:val="008D5A7F"/>
    <w:rsid w:val="008D7956"/>
    <w:rsid w:val="008E3659"/>
    <w:rsid w:val="008F4665"/>
    <w:rsid w:val="008F6B12"/>
    <w:rsid w:val="0090342D"/>
    <w:rsid w:val="00904A49"/>
    <w:rsid w:val="009056EE"/>
    <w:rsid w:val="009138D0"/>
    <w:rsid w:val="0091430B"/>
    <w:rsid w:val="00936F98"/>
    <w:rsid w:val="009431DE"/>
    <w:rsid w:val="0094323B"/>
    <w:rsid w:val="009960B2"/>
    <w:rsid w:val="009974C0"/>
    <w:rsid w:val="009A36DD"/>
    <w:rsid w:val="009C01B7"/>
    <w:rsid w:val="009C7E23"/>
    <w:rsid w:val="009D0864"/>
    <w:rsid w:val="009D1386"/>
    <w:rsid w:val="009D26C8"/>
    <w:rsid w:val="009E5F40"/>
    <w:rsid w:val="009E63A4"/>
    <w:rsid w:val="009F4766"/>
    <w:rsid w:val="00A053A4"/>
    <w:rsid w:val="00A15F1D"/>
    <w:rsid w:val="00A164D0"/>
    <w:rsid w:val="00A2582E"/>
    <w:rsid w:val="00A55837"/>
    <w:rsid w:val="00A63AEB"/>
    <w:rsid w:val="00A75ABB"/>
    <w:rsid w:val="00A83ACA"/>
    <w:rsid w:val="00A97393"/>
    <w:rsid w:val="00AC3C72"/>
    <w:rsid w:val="00AD5669"/>
    <w:rsid w:val="00AE2FA1"/>
    <w:rsid w:val="00AE4A8B"/>
    <w:rsid w:val="00AE7CAF"/>
    <w:rsid w:val="00AF2921"/>
    <w:rsid w:val="00AF6A0E"/>
    <w:rsid w:val="00B00794"/>
    <w:rsid w:val="00B14E2F"/>
    <w:rsid w:val="00B1559E"/>
    <w:rsid w:val="00B21089"/>
    <w:rsid w:val="00B57F1A"/>
    <w:rsid w:val="00B6742F"/>
    <w:rsid w:val="00B701A1"/>
    <w:rsid w:val="00B71DA3"/>
    <w:rsid w:val="00B725EE"/>
    <w:rsid w:val="00B76665"/>
    <w:rsid w:val="00B82A05"/>
    <w:rsid w:val="00B86CB5"/>
    <w:rsid w:val="00B95397"/>
    <w:rsid w:val="00BA0571"/>
    <w:rsid w:val="00BA0E0E"/>
    <w:rsid w:val="00BC4CFE"/>
    <w:rsid w:val="00BC5552"/>
    <w:rsid w:val="00BD1976"/>
    <w:rsid w:val="00BF5178"/>
    <w:rsid w:val="00BF6644"/>
    <w:rsid w:val="00C1190E"/>
    <w:rsid w:val="00C12AFF"/>
    <w:rsid w:val="00C16BCA"/>
    <w:rsid w:val="00C32A8E"/>
    <w:rsid w:val="00C36CDD"/>
    <w:rsid w:val="00C51273"/>
    <w:rsid w:val="00C512DA"/>
    <w:rsid w:val="00C56896"/>
    <w:rsid w:val="00C569FE"/>
    <w:rsid w:val="00C60B38"/>
    <w:rsid w:val="00C74EBF"/>
    <w:rsid w:val="00C766E1"/>
    <w:rsid w:val="00C87822"/>
    <w:rsid w:val="00C91840"/>
    <w:rsid w:val="00C93122"/>
    <w:rsid w:val="00CA26DF"/>
    <w:rsid w:val="00CC7AF0"/>
    <w:rsid w:val="00CD0F91"/>
    <w:rsid w:val="00CD235D"/>
    <w:rsid w:val="00CD37A4"/>
    <w:rsid w:val="00CD44BE"/>
    <w:rsid w:val="00CE0789"/>
    <w:rsid w:val="00D00521"/>
    <w:rsid w:val="00D00AAA"/>
    <w:rsid w:val="00D03BAB"/>
    <w:rsid w:val="00D041C6"/>
    <w:rsid w:val="00D05CDC"/>
    <w:rsid w:val="00D05CFB"/>
    <w:rsid w:val="00D05D6E"/>
    <w:rsid w:val="00D240F3"/>
    <w:rsid w:val="00D244C7"/>
    <w:rsid w:val="00D378DB"/>
    <w:rsid w:val="00D52AB4"/>
    <w:rsid w:val="00D55319"/>
    <w:rsid w:val="00D61B3B"/>
    <w:rsid w:val="00D626BC"/>
    <w:rsid w:val="00D63757"/>
    <w:rsid w:val="00D645A1"/>
    <w:rsid w:val="00D86306"/>
    <w:rsid w:val="00D867ED"/>
    <w:rsid w:val="00DB4030"/>
    <w:rsid w:val="00DB564D"/>
    <w:rsid w:val="00DB6CF3"/>
    <w:rsid w:val="00E04A51"/>
    <w:rsid w:val="00E11070"/>
    <w:rsid w:val="00E1507F"/>
    <w:rsid w:val="00E3052D"/>
    <w:rsid w:val="00E36F84"/>
    <w:rsid w:val="00E55155"/>
    <w:rsid w:val="00E56DC4"/>
    <w:rsid w:val="00E6482C"/>
    <w:rsid w:val="00E757AF"/>
    <w:rsid w:val="00E7632C"/>
    <w:rsid w:val="00E8747C"/>
    <w:rsid w:val="00EA0244"/>
    <w:rsid w:val="00EA0697"/>
    <w:rsid w:val="00EC0466"/>
    <w:rsid w:val="00EC4826"/>
    <w:rsid w:val="00ED23FA"/>
    <w:rsid w:val="00ED4702"/>
    <w:rsid w:val="00ED51B7"/>
    <w:rsid w:val="00EF106A"/>
    <w:rsid w:val="00F02492"/>
    <w:rsid w:val="00F054BC"/>
    <w:rsid w:val="00F1104A"/>
    <w:rsid w:val="00F13F4D"/>
    <w:rsid w:val="00F176C4"/>
    <w:rsid w:val="00F17791"/>
    <w:rsid w:val="00F24937"/>
    <w:rsid w:val="00F25C8A"/>
    <w:rsid w:val="00F36F26"/>
    <w:rsid w:val="00F4149B"/>
    <w:rsid w:val="00F41E2B"/>
    <w:rsid w:val="00F43ED5"/>
    <w:rsid w:val="00F46E8A"/>
    <w:rsid w:val="00F52ED0"/>
    <w:rsid w:val="00F602CF"/>
    <w:rsid w:val="00F612CC"/>
    <w:rsid w:val="00F93889"/>
    <w:rsid w:val="00FA01D5"/>
    <w:rsid w:val="00FB253C"/>
    <w:rsid w:val="00FB3E77"/>
    <w:rsid w:val="00FB53B5"/>
    <w:rsid w:val="00FB5573"/>
    <w:rsid w:val="00FB7382"/>
    <w:rsid w:val="00FC0784"/>
    <w:rsid w:val="00FD6A02"/>
    <w:rsid w:val="00FE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77F96F-8AA8-4195-9BC1-44654708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5F"/>
    <w:pPr>
      <w:ind w:left="720"/>
      <w:contextualSpacing/>
    </w:pPr>
  </w:style>
  <w:style w:type="table" w:styleId="TableGrid">
    <w:name w:val="Table Grid"/>
    <w:basedOn w:val="TableNormal"/>
    <w:uiPriority w:val="59"/>
    <w:rsid w:val="00C3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573"/>
    <w:pPr>
      <w:tabs>
        <w:tab w:val="center" w:pos="4680"/>
        <w:tab w:val="right" w:pos="9360"/>
      </w:tabs>
    </w:pPr>
  </w:style>
  <w:style w:type="character" w:customStyle="1" w:styleId="HeaderChar">
    <w:name w:val="Header Char"/>
    <w:basedOn w:val="DefaultParagraphFont"/>
    <w:link w:val="Header"/>
    <w:uiPriority w:val="99"/>
    <w:rsid w:val="00FB5573"/>
  </w:style>
  <w:style w:type="paragraph" w:styleId="Footer">
    <w:name w:val="footer"/>
    <w:basedOn w:val="Normal"/>
    <w:link w:val="FooterChar"/>
    <w:uiPriority w:val="99"/>
    <w:unhideWhenUsed/>
    <w:rsid w:val="00FB5573"/>
    <w:pPr>
      <w:tabs>
        <w:tab w:val="center" w:pos="4680"/>
        <w:tab w:val="right" w:pos="9360"/>
      </w:tabs>
    </w:pPr>
  </w:style>
  <w:style w:type="character" w:customStyle="1" w:styleId="FooterChar">
    <w:name w:val="Footer Char"/>
    <w:basedOn w:val="DefaultParagraphFont"/>
    <w:link w:val="Footer"/>
    <w:uiPriority w:val="99"/>
    <w:rsid w:val="00FB5573"/>
  </w:style>
  <w:style w:type="character" w:customStyle="1" w:styleId="hgkelc">
    <w:name w:val="hgkelc"/>
    <w:basedOn w:val="DefaultParagraphFont"/>
    <w:rsid w:val="00847A77"/>
  </w:style>
  <w:style w:type="paragraph" w:styleId="BalloonText">
    <w:name w:val="Balloon Text"/>
    <w:basedOn w:val="Normal"/>
    <w:link w:val="BalloonTextChar"/>
    <w:uiPriority w:val="99"/>
    <w:semiHidden/>
    <w:unhideWhenUsed/>
    <w:rsid w:val="00B86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B5"/>
    <w:rPr>
      <w:rFonts w:ascii="Segoe UI" w:hAnsi="Segoe UI" w:cs="Segoe UI"/>
      <w:sz w:val="18"/>
      <w:szCs w:val="18"/>
    </w:rPr>
  </w:style>
  <w:style w:type="paragraph" w:customStyle="1" w:styleId="Body">
    <w:name w:val="Body"/>
    <w:rsid w:val="00C9184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numbering" w:customStyle="1" w:styleId="Dash">
    <w:name w:val="Dash"/>
    <w:rsid w:val="00C91840"/>
    <w:pPr>
      <w:numPr>
        <w:numId w:val="1"/>
      </w:numPr>
    </w:pPr>
  </w:style>
  <w:style w:type="numbering" w:customStyle="1" w:styleId="Bullet">
    <w:name w:val="Bullet"/>
    <w:rsid w:val="00C91840"/>
    <w:pPr>
      <w:numPr>
        <w:numId w:val="2"/>
      </w:numPr>
    </w:pPr>
  </w:style>
  <w:style w:type="paragraph" w:styleId="NormalWeb">
    <w:name w:val="Normal (Web)"/>
    <w:basedOn w:val="Normal"/>
    <w:uiPriority w:val="99"/>
    <w:unhideWhenUsed/>
    <w:rsid w:val="006E46E9"/>
    <w:pPr>
      <w:spacing w:before="100" w:beforeAutospacing="1" w:after="100" w:afterAutospacing="1"/>
    </w:pPr>
    <w:rPr>
      <w:rFonts w:ascii="Times New Roman" w:hAnsi="Times New Roman" w:cs="Times New Roman"/>
      <w:sz w:val="24"/>
      <w:szCs w:val="24"/>
    </w:rPr>
  </w:style>
  <w:style w:type="character" w:customStyle="1" w:styleId="salnbdy">
    <w:name w:val="s_aln_bdy"/>
    <w:basedOn w:val="DefaultParagraphFont"/>
    <w:rsid w:val="00B95397"/>
  </w:style>
  <w:style w:type="character" w:styleId="CommentReference">
    <w:name w:val="annotation reference"/>
    <w:basedOn w:val="DefaultParagraphFont"/>
    <w:uiPriority w:val="99"/>
    <w:semiHidden/>
    <w:unhideWhenUsed/>
    <w:rsid w:val="00351F25"/>
    <w:rPr>
      <w:sz w:val="16"/>
      <w:szCs w:val="16"/>
    </w:rPr>
  </w:style>
  <w:style w:type="paragraph" w:styleId="CommentText">
    <w:name w:val="annotation text"/>
    <w:basedOn w:val="Normal"/>
    <w:link w:val="CommentTextChar"/>
    <w:uiPriority w:val="99"/>
    <w:semiHidden/>
    <w:unhideWhenUsed/>
    <w:rsid w:val="00351F25"/>
    <w:rPr>
      <w:sz w:val="20"/>
      <w:szCs w:val="20"/>
    </w:rPr>
  </w:style>
  <w:style w:type="character" w:customStyle="1" w:styleId="CommentTextChar">
    <w:name w:val="Comment Text Char"/>
    <w:basedOn w:val="DefaultParagraphFont"/>
    <w:link w:val="CommentText"/>
    <w:uiPriority w:val="99"/>
    <w:semiHidden/>
    <w:rsid w:val="00351F25"/>
    <w:rPr>
      <w:sz w:val="20"/>
      <w:szCs w:val="20"/>
    </w:rPr>
  </w:style>
  <w:style w:type="paragraph" w:styleId="CommentSubject">
    <w:name w:val="annotation subject"/>
    <w:basedOn w:val="CommentText"/>
    <w:next w:val="CommentText"/>
    <w:link w:val="CommentSubjectChar"/>
    <w:uiPriority w:val="99"/>
    <w:semiHidden/>
    <w:unhideWhenUsed/>
    <w:rsid w:val="00351F25"/>
    <w:rPr>
      <w:b/>
      <w:bCs/>
    </w:rPr>
  </w:style>
  <w:style w:type="character" w:customStyle="1" w:styleId="CommentSubjectChar">
    <w:name w:val="Comment Subject Char"/>
    <w:basedOn w:val="CommentTextChar"/>
    <w:link w:val="CommentSubject"/>
    <w:uiPriority w:val="99"/>
    <w:semiHidden/>
    <w:rsid w:val="00351F25"/>
    <w:rPr>
      <w:b/>
      <w:bCs/>
      <w:sz w:val="20"/>
      <w:szCs w:val="20"/>
    </w:rPr>
  </w:style>
  <w:style w:type="character" w:styleId="Hyperlink">
    <w:name w:val="Hyperlink"/>
    <w:basedOn w:val="DefaultParagraphFont"/>
    <w:uiPriority w:val="99"/>
    <w:unhideWhenUsed/>
    <w:rsid w:val="008458CD"/>
    <w:rPr>
      <w:color w:val="0000FF" w:themeColor="hyperlink"/>
      <w:u w:val="single"/>
    </w:rPr>
  </w:style>
  <w:style w:type="character" w:customStyle="1" w:styleId="UnresolvedMention">
    <w:name w:val="Unresolved Mention"/>
    <w:basedOn w:val="DefaultParagraphFont"/>
    <w:uiPriority w:val="99"/>
    <w:semiHidden/>
    <w:unhideWhenUsed/>
    <w:rsid w:val="008458CD"/>
    <w:rPr>
      <w:color w:val="605E5C"/>
      <w:shd w:val="clear" w:color="auto" w:fill="E1DFDD"/>
    </w:rPr>
  </w:style>
  <w:style w:type="character" w:styleId="FollowedHyperlink">
    <w:name w:val="FollowedHyperlink"/>
    <w:basedOn w:val="DefaultParagraphFont"/>
    <w:uiPriority w:val="99"/>
    <w:semiHidden/>
    <w:unhideWhenUsed/>
    <w:rsid w:val="00FB53B5"/>
    <w:rPr>
      <w:color w:val="800080" w:themeColor="followedHyperlink"/>
      <w:u w:val="single"/>
    </w:rPr>
  </w:style>
  <w:style w:type="paragraph" w:styleId="NoSpacing">
    <w:name w:val="No Spacing"/>
    <w:uiPriority w:val="1"/>
    <w:qFormat/>
    <w:rsid w:val="00DB6CF3"/>
  </w:style>
  <w:style w:type="paragraph" w:styleId="HTMLPreformatted">
    <w:name w:val="HTML Preformatted"/>
    <w:basedOn w:val="Normal"/>
    <w:link w:val="HTMLPreformattedChar"/>
    <w:uiPriority w:val="99"/>
    <w:unhideWhenUsed/>
    <w:rsid w:val="000A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0A16A2"/>
    <w:rPr>
      <w:rFonts w:ascii="Courier New" w:eastAsia="Times New Roman" w:hAnsi="Courier New" w:cs="Courier New"/>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5500">
      <w:bodyDiv w:val="1"/>
      <w:marLeft w:val="0"/>
      <w:marRight w:val="0"/>
      <w:marTop w:val="0"/>
      <w:marBottom w:val="0"/>
      <w:divBdr>
        <w:top w:val="none" w:sz="0" w:space="0" w:color="auto"/>
        <w:left w:val="none" w:sz="0" w:space="0" w:color="auto"/>
        <w:bottom w:val="none" w:sz="0" w:space="0" w:color="auto"/>
        <w:right w:val="none" w:sz="0" w:space="0" w:color="auto"/>
      </w:divBdr>
    </w:div>
    <w:div w:id="552347274">
      <w:bodyDiv w:val="1"/>
      <w:marLeft w:val="0"/>
      <w:marRight w:val="0"/>
      <w:marTop w:val="0"/>
      <w:marBottom w:val="0"/>
      <w:divBdr>
        <w:top w:val="none" w:sz="0" w:space="0" w:color="auto"/>
        <w:left w:val="none" w:sz="0" w:space="0" w:color="auto"/>
        <w:bottom w:val="none" w:sz="0" w:space="0" w:color="auto"/>
        <w:right w:val="none" w:sz="0" w:space="0" w:color="auto"/>
      </w:divBdr>
    </w:div>
    <w:div w:id="631833725">
      <w:bodyDiv w:val="1"/>
      <w:marLeft w:val="0"/>
      <w:marRight w:val="0"/>
      <w:marTop w:val="0"/>
      <w:marBottom w:val="0"/>
      <w:divBdr>
        <w:top w:val="none" w:sz="0" w:space="0" w:color="auto"/>
        <w:left w:val="none" w:sz="0" w:space="0" w:color="auto"/>
        <w:bottom w:val="none" w:sz="0" w:space="0" w:color="auto"/>
        <w:right w:val="none" w:sz="0" w:space="0" w:color="auto"/>
      </w:divBdr>
    </w:div>
    <w:div w:id="705300881">
      <w:bodyDiv w:val="1"/>
      <w:marLeft w:val="0"/>
      <w:marRight w:val="0"/>
      <w:marTop w:val="0"/>
      <w:marBottom w:val="0"/>
      <w:divBdr>
        <w:top w:val="none" w:sz="0" w:space="0" w:color="auto"/>
        <w:left w:val="none" w:sz="0" w:space="0" w:color="auto"/>
        <w:bottom w:val="none" w:sz="0" w:space="0" w:color="auto"/>
        <w:right w:val="none" w:sz="0" w:space="0" w:color="auto"/>
      </w:divBdr>
    </w:div>
    <w:div w:id="1311903493">
      <w:bodyDiv w:val="1"/>
      <w:marLeft w:val="0"/>
      <w:marRight w:val="0"/>
      <w:marTop w:val="0"/>
      <w:marBottom w:val="0"/>
      <w:divBdr>
        <w:top w:val="none" w:sz="0" w:space="0" w:color="auto"/>
        <w:left w:val="none" w:sz="0" w:space="0" w:color="auto"/>
        <w:bottom w:val="none" w:sz="0" w:space="0" w:color="auto"/>
        <w:right w:val="none" w:sz="0" w:space="0" w:color="auto"/>
      </w:divBdr>
    </w:div>
    <w:div w:id="1392119718">
      <w:bodyDiv w:val="1"/>
      <w:marLeft w:val="0"/>
      <w:marRight w:val="0"/>
      <w:marTop w:val="0"/>
      <w:marBottom w:val="0"/>
      <w:divBdr>
        <w:top w:val="none" w:sz="0" w:space="0" w:color="auto"/>
        <w:left w:val="none" w:sz="0" w:space="0" w:color="auto"/>
        <w:bottom w:val="none" w:sz="0" w:space="0" w:color="auto"/>
        <w:right w:val="none" w:sz="0" w:space="0" w:color="auto"/>
      </w:divBdr>
    </w:div>
    <w:div w:id="1435587455">
      <w:bodyDiv w:val="1"/>
      <w:marLeft w:val="0"/>
      <w:marRight w:val="0"/>
      <w:marTop w:val="0"/>
      <w:marBottom w:val="0"/>
      <w:divBdr>
        <w:top w:val="none" w:sz="0" w:space="0" w:color="auto"/>
        <w:left w:val="none" w:sz="0" w:space="0" w:color="auto"/>
        <w:bottom w:val="none" w:sz="0" w:space="0" w:color="auto"/>
        <w:right w:val="none" w:sz="0" w:space="0" w:color="auto"/>
      </w:divBdr>
    </w:div>
    <w:div w:id="1493763887">
      <w:bodyDiv w:val="1"/>
      <w:marLeft w:val="0"/>
      <w:marRight w:val="0"/>
      <w:marTop w:val="0"/>
      <w:marBottom w:val="0"/>
      <w:divBdr>
        <w:top w:val="none" w:sz="0" w:space="0" w:color="auto"/>
        <w:left w:val="none" w:sz="0" w:space="0" w:color="auto"/>
        <w:bottom w:val="none" w:sz="0" w:space="0" w:color="auto"/>
        <w:right w:val="none" w:sz="0" w:space="0" w:color="auto"/>
      </w:divBdr>
    </w:div>
    <w:div w:id="1525825939">
      <w:bodyDiv w:val="1"/>
      <w:marLeft w:val="0"/>
      <w:marRight w:val="0"/>
      <w:marTop w:val="0"/>
      <w:marBottom w:val="0"/>
      <w:divBdr>
        <w:top w:val="none" w:sz="0" w:space="0" w:color="auto"/>
        <w:left w:val="none" w:sz="0" w:space="0" w:color="auto"/>
        <w:bottom w:val="none" w:sz="0" w:space="0" w:color="auto"/>
        <w:right w:val="none" w:sz="0" w:space="0" w:color="auto"/>
      </w:divBdr>
    </w:div>
    <w:div w:id="1828469928">
      <w:bodyDiv w:val="1"/>
      <w:marLeft w:val="0"/>
      <w:marRight w:val="0"/>
      <w:marTop w:val="0"/>
      <w:marBottom w:val="0"/>
      <w:divBdr>
        <w:top w:val="none" w:sz="0" w:space="0" w:color="auto"/>
        <w:left w:val="none" w:sz="0" w:space="0" w:color="auto"/>
        <w:bottom w:val="none" w:sz="0" w:space="0" w:color="auto"/>
        <w:right w:val="none" w:sz="0" w:space="0" w:color="auto"/>
      </w:divBdr>
    </w:div>
    <w:div w:id="21349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128"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Doru</dc:creator>
  <cp:keywords/>
  <dc:description/>
  <cp:lastModifiedBy>Andra Pauna</cp:lastModifiedBy>
  <cp:revision>4</cp:revision>
  <cp:lastPrinted>2021-05-17T11:47:00Z</cp:lastPrinted>
  <dcterms:created xsi:type="dcterms:W3CDTF">2021-05-25T15:09:00Z</dcterms:created>
  <dcterms:modified xsi:type="dcterms:W3CDTF">2021-05-26T12:54:00Z</dcterms:modified>
</cp:coreProperties>
</file>