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B0F8E" w14:textId="77777777" w:rsidR="00AF3E0D" w:rsidRPr="005C1B54" w:rsidRDefault="00AF3E0D" w:rsidP="00C35F3C">
      <w:pPr>
        <w:spacing w:after="0"/>
        <w:rPr>
          <w:rFonts w:ascii="Times New Roman" w:hAnsi="Times New Roman" w:cs="Times New Roman"/>
          <w:b/>
          <w:bCs/>
          <w:sz w:val="24"/>
          <w:szCs w:val="24"/>
        </w:rPr>
      </w:pPr>
      <w:bookmarkStart w:id="0" w:name="_Hlk67074671"/>
      <w:bookmarkStart w:id="1" w:name="_GoBack"/>
      <w:bookmarkEnd w:id="1"/>
    </w:p>
    <w:p w14:paraId="696D5819" w14:textId="77777777" w:rsidR="00AF3E0D" w:rsidRPr="005C1B54" w:rsidRDefault="00AF3E0D" w:rsidP="00AF3E0D">
      <w:pPr>
        <w:pStyle w:val="Heading2"/>
        <w:numPr>
          <w:ilvl w:val="0"/>
          <w:numId w:val="14"/>
        </w:numPr>
        <w:spacing w:before="0" w:after="160"/>
        <w:jc w:val="both"/>
        <w:rPr>
          <w:rFonts w:ascii="Times New Roman" w:hAnsi="Times New Roman" w:cs="Times New Roman"/>
          <w:b/>
          <w:bCs/>
          <w:color w:val="auto"/>
          <w:sz w:val="24"/>
          <w:szCs w:val="24"/>
          <w:u w:val="single"/>
          <w:lang w:val="ro-RO"/>
        </w:rPr>
      </w:pPr>
      <w:bookmarkStart w:id="2" w:name="_Toc49944557"/>
      <w:bookmarkStart w:id="3" w:name="_Toc61252490"/>
      <w:bookmarkStart w:id="4" w:name="_Toc62048397"/>
      <w:r w:rsidRPr="005C1B54">
        <w:rPr>
          <w:rFonts w:ascii="Times New Roman" w:hAnsi="Times New Roman" w:cs="Times New Roman"/>
          <w:b/>
          <w:bCs/>
          <w:color w:val="auto"/>
          <w:sz w:val="24"/>
          <w:szCs w:val="24"/>
          <w:u w:val="single"/>
          <w:lang w:val="ro-RO"/>
        </w:rPr>
        <w:t>Financing and costs</w:t>
      </w:r>
      <w:bookmarkEnd w:id="2"/>
      <w:bookmarkEnd w:id="3"/>
      <w:bookmarkEnd w:id="4"/>
    </w:p>
    <w:p w14:paraId="36A81654" w14:textId="77777777" w:rsidR="00AF3E0D" w:rsidRPr="005C1B54" w:rsidRDefault="00AF3E0D" w:rsidP="00C35F3C">
      <w:pPr>
        <w:spacing w:after="0"/>
        <w:rPr>
          <w:rFonts w:ascii="Times New Roman" w:hAnsi="Times New Roman" w:cs="Times New Roman"/>
          <w:b/>
          <w:bCs/>
          <w:sz w:val="24"/>
          <w:szCs w:val="24"/>
        </w:rPr>
      </w:pPr>
    </w:p>
    <w:p w14:paraId="6E115911" w14:textId="2FC9D2C8" w:rsidR="00C35F3C" w:rsidRPr="005C1B54" w:rsidRDefault="00C35F3C" w:rsidP="00B607EC">
      <w:pPr>
        <w:spacing w:after="0"/>
        <w:jc w:val="both"/>
        <w:rPr>
          <w:rFonts w:ascii="Times New Roman" w:hAnsi="Times New Roman" w:cs="Times New Roman"/>
          <w:sz w:val="24"/>
          <w:szCs w:val="24"/>
        </w:rPr>
      </w:pPr>
      <w:r w:rsidRPr="005C1B54">
        <w:rPr>
          <w:rFonts w:ascii="Times New Roman" w:hAnsi="Times New Roman" w:cs="Times New Roman"/>
          <w:b/>
          <w:bCs/>
          <w:sz w:val="24"/>
          <w:szCs w:val="24"/>
        </w:rPr>
        <w:t>2 milioane de euro –</w:t>
      </w:r>
      <w:r w:rsidRPr="005C1B54">
        <w:rPr>
          <w:rFonts w:ascii="Times New Roman" w:hAnsi="Times New Roman" w:cs="Times New Roman"/>
          <w:sz w:val="24"/>
          <w:szCs w:val="24"/>
        </w:rPr>
        <w:t xml:space="preserve"> Costuri cu serviciile asisten</w:t>
      </w:r>
      <w:r w:rsidR="00B607EC" w:rsidRPr="005C1B54">
        <w:rPr>
          <w:rFonts w:ascii="Times New Roman" w:hAnsi="Times New Roman" w:cs="Times New Roman"/>
          <w:sz w:val="24"/>
          <w:szCs w:val="24"/>
        </w:rPr>
        <w:t>ță</w:t>
      </w:r>
      <w:r w:rsidRPr="005C1B54">
        <w:rPr>
          <w:rFonts w:ascii="Times New Roman" w:hAnsi="Times New Roman" w:cs="Times New Roman"/>
          <w:sz w:val="24"/>
          <w:szCs w:val="24"/>
        </w:rPr>
        <w:t xml:space="preserve"> tehnic</w:t>
      </w:r>
      <w:r w:rsidR="00B607EC" w:rsidRPr="005C1B54">
        <w:rPr>
          <w:rFonts w:ascii="Times New Roman" w:hAnsi="Times New Roman" w:cs="Times New Roman"/>
          <w:sz w:val="24"/>
          <w:szCs w:val="24"/>
        </w:rPr>
        <w:t>ă</w:t>
      </w:r>
      <w:r w:rsidRPr="005C1B54">
        <w:rPr>
          <w:rFonts w:ascii="Times New Roman" w:hAnsi="Times New Roman" w:cs="Times New Roman"/>
          <w:sz w:val="24"/>
          <w:szCs w:val="24"/>
        </w:rPr>
        <w:t xml:space="preserve"> furnizate de către instituția financiară internațională</w:t>
      </w:r>
    </w:p>
    <w:p w14:paraId="54D23DA7" w14:textId="2590A7DE" w:rsidR="00361F67" w:rsidRPr="005C1B54" w:rsidRDefault="00361F67" w:rsidP="00361F67">
      <w:pPr>
        <w:spacing w:line="276" w:lineRule="auto"/>
        <w:jc w:val="both"/>
        <w:rPr>
          <w:rFonts w:ascii="Times New Roman" w:hAnsi="Times New Roman" w:cs="Times New Roman"/>
          <w:sz w:val="24"/>
          <w:szCs w:val="24"/>
        </w:rPr>
      </w:pPr>
      <w:r w:rsidRPr="005C1B54">
        <w:rPr>
          <w:rFonts w:ascii="Times New Roman" w:hAnsi="Times New Roman" w:cs="Times New Roman"/>
          <w:sz w:val="24"/>
          <w:szCs w:val="24"/>
        </w:rPr>
        <w:t>Costul estimat pentru implementarea reformei  este de 2</w:t>
      </w:r>
      <w:r w:rsidR="00AE7BAA" w:rsidRPr="005C1B54">
        <w:rPr>
          <w:rFonts w:ascii="Times New Roman" w:hAnsi="Times New Roman" w:cs="Times New Roman"/>
          <w:sz w:val="24"/>
          <w:szCs w:val="24"/>
        </w:rPr>
        <w:t>.000.000 euro</w:t>
      </w:r>
      <w:r w:rsidRPr="005C1B54">
        <w:rPr>
          <w:rFonts w:ascii="Times New Roman" w:hAnsi="Times New Roman" w:cs="Times New Roman"/>
          <w:sz w:val="24"/>
          <w:szCs w:val="24"/>
        </w:rPr>
        <w:t xml:space="preserve"> ce va consta în a</w:t>
      </w:r>
      <w:r w:rsidR="007A3BC4">
        <w:rPr>
          <w:rFonts w:ascii="Times New Roman" w:hAnsi="Times New Roman" w:cs="Times New Roman"/>
          <w:sz w:val="24"/>
          <w:szCs w:val="24"/>
        </w:rPr>
        <w:t>sistență tehnică</w:t>
      </w:r>
      <w:r w:rsidR="00AE7BAA" w:rsidRPr="005C1B54">
        <w:rPr>
          <w:rFonts w:ascii="Times New Roman" w:hAnsi="Times New Roman" w:cs="Times New Roman"/>
          <w:sz w:val="24"/>
          <w:szCs w:val="24"/>
        </w:rPr>
        <w:t xml:space="preserve">  furnizată de</w:t>
      </w:r>
      <w:r w:rsidRPr="005C1B54">
        <w:rPr>
          <w:rFonts w:ascii="Times New Roman" w:hAnsi="Times New Roman" w:cs="Times New Roman"/>
          <w:sz w:val="24"/>
          <w:szCs w:val="24"/>
        </w:rPr>
        <w:t xml:space="preserve"> o instituție internațională cu expertiză în domeniul administrației p</w:t>
      </w:r>
      <w:r w:rsidR="00AE7BAA" w:rsidRPr="005C1B54">
        <w:rPr>
          <w:rFonts w:ascii="Times New Roman" w:hAnsi="Times New Roman" w:cs="Times New Roman"/>
          <w:sz w:val="24"/>
          <w:szCs w:val="24"/>
        </w:rPr>
        <w:t>ublice și a politicilor publice de reformă</w:t>
      </w:r>
      <w:r w:rsidRPr="005C1B54">
        <w:rPr>
          <w:rFonts w:ascii="Times New Roman" w:hAnsi="Times New Roman" w:cs="Times New Roman"/>
          <w:sz w:val="24"/>
          <w:szCs w:val="24"/>
        </w:rPr>
        <w:t xml:space="preserve"> în administrație. Costul a fost estimat pornind de la experiența MMPS în proiectul ” Dezvoltarea unui sistem de management unitar al resurselor umane din administrația publică” (SIPOCA 136) cofinanțat prin Programul Operațional Capacitate Administrativă și implementat de Secretariatul General al Guvernului în parteneriat cu Ministerul Muncii și Protecției Sociale și Agenția Națională a Funcționarilor Publici.</w:t>
      </w:r>
    </w:p>
    <w:p w14:paraId="1C3D7A42" w14:textId="054FE3AA" w:rsidR="00AE7BAA" w:rsidRPr="005C1B54" w:rsidRDefault="00AE7BAA" w:rsidP="00AE7BAA">
      <w:pPr>
        <w:spacing w:line="276" w:lineRule="auto"/>
        <w:jc w:val="both"/>
        <w:rPr>
          <w:rFonts w:ascii="Times New Roman" w:hAnsi="Times New Roman" w:cs="Times New Roman"/>
          <w:sz w:val="24"/>
          <w:szCs w:val="24"/>
        </w:rPr>
      </w:pPr>
      <w:r w:rsidRPr="005C1B54">
        <w:rPr>
          <w:rFonts w:ascii="Times New Roman" w:hAnsi="Times New Roman" w:cs="Times New Roman"/>
          <w:sz w:val="24"/>
          <w:szCs w:val="24"/>
        </w:rPr>
        <w:t xml:space="preserve">Obiectivul proiectului mai sus menționat este dezvoltarea sistemului de management strategic integrat al resurselor umane astfel încât acestea să poată asigura suportul necesar unei administrații publice moderne, performante, inclusive și inovative, documentele </w:t>
      </w:r>
      <w:r w:rsidR="007A3BC4">
        <w:rPr>
          <w:rFonts w:ascii="Times New Roman" w:hAnsi="Times New Roman" w:cs="Times New Roman"/>
          <w:sz w:val="24"/>
          <w:szCs w:val="24"/>
        </w:rPr>
        <w:t>tehnice aferente acestei reforme</w:t>
      </w:r>
      <w:r w:rsidRPr="005C1B54">
        <w:rPr>
          <w:rFonts w:ascii="Times New Roman" w:hAnsi="Times New Roman" w:cs="Times New Roman"/>
          <w:sz w:val="24"/>
          <w:szCs w:val="24"/>
        </w:rPr>
        <w:t xml:space="preserve"> fiind elaborate cu suportul tehnic acordat de Banca Mondială.</w:t>
      </w:r>
    </w:p>
    <w:p w14:paraId="79D55804" w14:textId="77777777" w:rsidR="00361F67" w:rsidRPr="005C1B54" w:rsidRDefault="00361F67" w:rsidP="00361F67">
      <w:pPr>
        <w:spacing w:line="276" w:lineRule="auto"/>
        <w:jc w:val="both"/>
        <w:rPr>
          <w:rFonts w:ascii="Times New Roman" w:hAnsi="Times New Roman" w:cs="Times New Roman"/>
          <w:sz w:val="24"/>
          <w:szCs w:val="24"/>
        </w:rPr>
      </w:pPr>
      <w:r w:rsidRPr="005C1B54">
        <w:rPr>
          <w:rFonts w:ascii="Times New Roman" w:hAnsi="Times New Roman" w:cs="Times New Roman"/>
          <w:sz w:val="24"/>
          <w:szCs w:val="24"/>
        </w:rPr>
        <w:t>De asemenea, pentru determinarea valorii estimate a contractului a fost luat în calcul contractual încheiat între Ministerul Muncii și Protecției Sociale și Banca Mondială în cadrul proiectului Modernizarea sistemului de evaluare a dizabilităţii din România – cod MySmis+ 129751.</w:t>
      </w:r>
    </w:p>
    <w:p w14:paraId="089E87B2" w14:textId="77777777" w:rsidR="00361F67" w:rsidRPr="005C1B54" w:rsidRDefault="00361F67" w:rsidP="00361F67">
      <w:pPr>
        <w:spacing w:line="276" w:lineRule="auto"/>
        <w:jc w:val="both"/>
        <w:rPr>
          <w:rFonts w:ascii="Times New Roman" w:hAnsi="Times New Roman" w:cs="Times New Roman"/>
          <w:sz w:val="24"/>
          <w:szCs w:val="24"/>
        </w:rPr>
      </w:pPr>
      <w:r w:rsidRPr="005C1B54">
        <w:rPr>
          <w:rFonts w:ascii="Times New Roman" w:hAnsi="Times New Roman" w:cs="Times New Roman"/>
          <w:sz w:val="24"/>
          <w:szCs w:val="24"/>
        </w:rPr>
        <w:t>Astfel, a fost analizat costul pe componente al contractului încheiat între SGG și Banca Mondială în cadrul proiectului amintit mai sus, echivalând în termeni de complexitate documentele de analiză și politică publică ce vor fi necesare pentru implementarea reformei.</w:t>
      </w:r>
    </w:p>
    <w:p w14:paraId="44C85D0E" w14:textId="1807E51E" w:rsidR="00361F67" w:rsidRPr="005C1B54" w:rsidRDefault="00361F67" w:rsidP="00361F67">
      <w:pPr>
        <w:spacing w:line="276" w:lineRule="auto"/>
        <w:jc w:val="both"/>
        <w:rPr>
          <w:rFonts w:ascii="Times New Roman" w:hAnsi="Times New Roman" w:cs="Times New Roman"/>
          <w:sz w:val="24"/>
          <w:szCs w:val="24"/>
        </w:rPr>
      </w:pPr>
      <w:r w:rsidRPr="005C1B54">
        <w:rPr>
          <w:rFonts w:ascii="Times New Roman" w:hAnsi="Times New Roman" w:cs="Times New Roman"/>
          <w:sz w:val="24"/>
          <w:szCs w:val="24"/>
        </w:rPr>
        <w:t xml:space="preserve">Costul de 2.000.000 euro a fost calculat în funcție de rezultatele așteptate în </w:t>
      </w:r>
      <w:r w:rsidR="00426F2E">
        <w:rPr>
          <w:rFonts w:ascii="Times New Roman" w:hAnsi="Times New Roman" w:cs="Times New Roman"/>
          <w:sz w:val="24"/>
          <w:szCs w:val="24"/>
        </w:rPr>
        <w:t>cadrul contractului de asistență</w:t>
      </w:r>
      <w:r w:rsidRPr="005C1B54">
        <w:rPr>
          <w:rFonts w:ascii="Times New Roman" w:hAnsi="Times New Roman" w:cs="Times New Roman"/>
          <w:sz w:val="24"/>
          <w:szCs w:val="24"/>
        </w:rPr>
        <w:t xml:space="preserve"> tehnică, într-o manieră similară celor două proiecte amintite mai sus, după cum urmează:</w:t>
      </w:r>
    </w:p>
    <w:p w14:paraId="55A6AE10" w14:textId="77777777" w:rsidR="00361F67" w:rsidRPr="005C1B54" w:rsidRDefault="00361F67" w:rsidP="00361F67">
      <w:pPr>
        <w:spacing w:line="276" w:lineRule="auto"/>
        <w:jc w:val="both"/>
        <w:rPr>
          <w:rFonts w:ascii="Trebuchet MS" w:hAnsi="Trebuchet MS"/>
        </w:rPr>
      </w:pPr>
    </w:p>
    <w:tbl>
      <w:tblPr>
        <w:tblStyle w:val="TableGrid"/>
        <w:tblW w:w="0" w:type="auto"/>
        <w:tblInd w:w="0" w:type="dxa"/>
        <w:tblLook w:val="04A0" w:firstRow="1" w:lastRow="0" w:firstColumn="1" w:lastColumn="0" w:noHBand="0" w:noVBand="1"/>
      </w:tblPr>
      <w:tblGrid>
        <w:gridCol w:w="985"/>
        <w:gridCol w:w="5580"/>
        <w:gridCol w:w="2785"/>
      </w:tblGrid>
      <w:tr w:rsidR="00361F67" w:rsidRPr="00426F2E" w14:paraId="04F472ED" w14:textId="77777777" w:rsidTr="00552751">
        <w:tc>
          <w:tcPr>
            <w:tcW w:w="985" w:type="dxa"/>
            <w:shd w:val="clear" w:color="auto" w:fill="D0CECE" w:themeFill="background2" w:themeFillShade="E6"/>
          </w:tcPr>
          <w:p w14:paraId="76707CB1" w14:textId="77777777" w:rsidR="00361F67" w:rsidRPr="00426F2E" w:rsidRDefault="00361F67" w:rsidP="00552751">
            <w:pPr>
              <w:spacing w:line="276" w:lineRule="auto"/>
              <w:jc w:val="both"/>
              <w:rPr>
                <w:rFonts w:ascii="Times New Roman" w:hAnsi="Times New Roman" w:cs="Times New Roman"/>
                <w:b/>
              </w:rPr>
            </w:pPr>
            <w:r w:rsidRPr="00426F2E">
              <w:rPr>
                <w:rFonts w:ascii="Times New Roman" w:hAnsi="Times New Roman" w:cs="Times New Roman"/>
                <w:b/>
              </w:rPr>
              <w:t>Nr. crt.</w:t>
            </w:r>
          </w:p>
        </w:tc>
        <w:tc>
          <w:tcPr>
            <w:tcW w:w="5580" w:type="dxa"/>
            <w:shd w:val="clear" w:color="auto" w:fill="D0CECE" w:themeFill="background2" w:themeFillShade="E6"/>
          </w:tcPr>
          <w:p w14:paraId="546C8D2F" w14:textId="77777777" w:rsidR="00361F67" w:rsidRPr="00426F2E" w:rsidRDefault="00361F67" w:rsidP="00552751">
            <w:pPr>
              <w:spacing w:line="276" w:lineRule="auto"/>
              <w:jc w:val="both"/>
              <w:rPr>
                <w:rFonts w:ascii="Times New Roman" w:hAnsi="Times New Roman" w:cs="Times New Roman"/>
                <w:b/>
              </w:rPr>
            </w:pPr>
            <w:r w:rsidRPr="00426F2E">
              <w:rPr>
                <w:rFonts w:ascii="Times New Roman" w:hAnsi="Times New Roman" w:cs="Times New Roman"/>
                <w:b/>
              </w:rPr>
              <w:t xml:space="preserve">REZULTAT AȘTEPTAT </w:t>
            </w:r>
          </w:p>
        </w:tc>
        <w:tc>
          <w:tcPr>
            <w:tcW w:w="2785" w:type="dxa"/>
            <w:shd w:val="clear" w:color="auto" w:fill="D0CECE" w:themeFill="background2" w:themeFillShade="E6"/>
          </w:tcPr>
          <w:p w14:paraId="637119B7" w14:textId="77777777" w:rsidR="00361F67" w:rsidRPr="00426F2E" w:rsidRDefault="00361F67" w:rsidP="00552751">
            <w:pPr>
              <w:spacing w:line="276" w:lineRule="auto"/>
              <w:jc w:val="both"/>
              <w:rPr>
                <w:rFonts w:ascii="Times New Roman" w:hAnsi="Times New Roman" w:cs="Times New Roman"/>
                <w:b/>
              </w:rPr>
            </w:pPr>
            <w:r w:rsidRPr="00426F2E">
              <w:rPr>
                <w:rFonts w:ascii="Times New Roman" w:hAnsi="Times New Roman" w:cs="Times New Roman"/>
                <w:b/>
              </w:rPr>
              <w:t xml:space="preserve">COST ESTIMAT – EUR. </w:t>
            </w:r>
          </w:p>
        </w:tc>
      </w:tr>
      <w:tr w:rsidR="00361F67" w:rsidRPr="00426F2E" w14:paraId="67B9DBE0" w14:textId="77777777" w:rsidTr="00552751">
        <w:tc>
          <w:tcPr>
            <w:tcW w:w="985" w:type="dxa"/>
          </w:tcPr>
          <w:p w14:paraId="30E9A1B9" w14:textId="77777777" w:rsidR="00361F67" w:rsidRPr="00426F2E" w:rsidRDefault="00361F67" w:rsidP="00552751">
            <w:pPr>
              <w:spacing w:line="276" w:lineRule="auto"/>
              <w:jc w:val="both"/>
              <w:rPr>
                <w:rFonts w:ascii="Times New Roman" w:hAnsi="Times New Roman" w:cs="Times New Roman"/>
              </w:rPr>
            </w:pPr>
            <w:r w:rsidRPr="00426F2E">
              <w:rPr>
                <w:rFonts w:ascii="Times New Roman" w:hAnsi="Times New Roman" w:cs="Times New Roman"/>
              </w:rPr>
              <w:t>1</w:t>
            </w:r>
          </w:p>
        </w:tc>
        <w:tc>
          <w:tcPr>
            <w:tcW w:w="5580" w:type="dxa"/>
          </w:tcPr>
          <w:p w14:paraId="0DEE15D2" w14:textId="29F9E353" w:rsidR="00361F67" w:rsidRPr="00426F2E" w:rsidRDefault="00361F67" w:rsidP="00552751">
            <w:pPr>
              <w:spacing w:line="276" w:lineRule="auto"/>
              <w:jc w:val="both"/>
              <w:rPr>
                <w:rFonts w:ascii="Times New Roman" w:hAnsi="Times New Roman" w:cs="Times New Roman"/>
                <w:sz w:val="24"/>
                <w:szCs w:val="24"/>
              </w:rPr>
            </w:pPr>
            <w:r w:rsidRPr="00426F2E">
              <w:rPr>
                <w:rFonts w:ascii="Times New Roman" w:hAnsi="Times New Roman" w:cs="Times New Roman"/>
                <w:sz w:val="24"/>
                <w:szCs w:val="24"/>
              </w:rPr>
              <w:t>Suport dezbateri organizate în cad</w:t>
            </w:r>
            <w:r w:rsidR="00013A5A">
              <w:rPr>
                <w:rFonts w:ascii="Times New Roman" w:hAnsi="Times New Roman" w:cs="Times New Roman"/>
                <w:sz w:val="24"/>
                <w:szCs w:val="24"/>
              </w:rPr>
              <w:t>rul procesului de transparență ș</w:t>
            </w:r>
            <w:r w:rsidRPr="00426F2E">
              <w:rPr>
                <w:rFonts w:ascii="Times New Roman" w:hAnsi="Times New Roman" w:cs="Times New Roman"/>
                <w:sz w:val="24"/>
                <w:szCs w:val="24"/>
              </w:rPr>
              <w:t>i elaborarea unui raport ce va conține un capitol de recomandări</w:t>
            </w:r>
          </w:p>
        </w:tc>
        <w:tc>
          <w:tcPr>
            <w:tcW w:w="2785" w:type="dxa"/>
          </w:tcPr>
          <w:p w14:paraId="01C7C414" w14:textId="77777777" w:rsidR="00361F67" w:rsidRPr="00426F2E" w:rsidRDefault="00361F67" w:rsidP="00552751">
            <w:pPr>
              <w:spacing w:line="276" w:lineRule="auto"/>
              <w:jc w:val="both"/>
              <w:rPr>
                <w:rFonts w:ascii="Times New Roman" w:hAnsi="Times New Roman" w:cs="Times New Roman"/>
                <w:sz w:val="24"/>
                <w:szCs w:val="24"/>
              </w:rPr>
            </w:pPr>
            <w:r w:rsidRPr="00426F2E">
              <w:rPr>
                <w:rFonts w:ascii="Times New Roman" w:hAnsi="Times New Roman" w:cs="Times New Roman"/>
                <w:sz w:val="24"/>
                <w:szCs w:val="24"/>
              </w:rPr>
              <w:t>300.000</w:t>
            </w:r>
          </w:p>
        </w:tc>
      </w:tr>
      <w:tr w:rsidR="00361F67" w:rsidRPr="00426F2E" w14:paraId="1F0721E5" w14:textId="77777777" w:rsidTr="00552751">
        <w:tc>
          <w:tcPr>
            <w:tcW w:w="985" w:type="dxa"/>
          </w:tcPr>
          <w:p w14:paraId="60350B73" w14:textId="77777777" w:rsidR="00361F67" w:rsidRPr="00426F2E" w:rsidRDefault="00361F67" w:rsidP="00552751">
            <w:pPr>
              <w:spacing w:line="276" w:lineRule="auto"/>
              <w:jc w:val="both"/>
              <w:rPr>
                <w:rFonts w:ascii="Times New Roman" w:hAnsi="Times New Roman" w:cs="Times New Roman"/>
              </w:rPr>
            </w:pPr>
            <w:r w:rsidRPr="00426F2E">
              <w:rPr>
                <w:rFonts w:ascii="Times New Roman" w:hAnsi="Times New Roman" w:cs="Times New Roman"/>
              </w:rPr>
              <w:t>2</w:t>
            </w:r>
          </w:p>
        </w:tc>
        <w:tc>
          <w:tcPr>
            <w:tcW w:w="5580" w:type="dxa"/>
          </w:tcPr>
          <w:p w14:paraId="6E051AE8" w14:textId="5414D094" w:rsidR="00361F67" w:rsidRPr="00426F2E" w:rsidRDefault="007925BD" w:rsidP="00552751">
            <w:pPr>
              <w:spacing w:line="276" w:lineRule="auto"/>
              <w:jc w:val="both"/>
              <w:rPr>
                <w:rFonts w:ascii="Times New Roman" w:hAnsi="Times New Roman" w:cs="Times New Roman"/>
                <w:sz w:val="24"/>
                <w:szCs w:val="24"/>
              </w:rPr>
            </w:pPr>
            <w:r w:rsidRPr="00426F2E">
              <w:rPr>
                <w:rFonts w:ascii="Times New Roman" w:hAnsi="Times New Roman" w:cs="Times New Roman"/>
                <w:sz w:val="24"/>
                <w:szCs w:val="24"/>
              </w:rPr>
              <w:t>Un set de instrume</w:t>
            </w:r>
            <w:r w:rsidR="00361F67" w:rsidRPr="00426F2E">
              <w:rPr>
                <w:rFonts w:ascii="Times New Roman" w:hAnsi="Times New Roman" w:cs="Times New Roman"/>
                <w:sz w:val="24"/>
                <w:szCs w:val="24"/>
              </w:rPr>
              <w:t>nte, proceduri si metodologii pentru implemen</w:t>
            </w:r>
            <w:r w:rsidRPr="00426F2E">
              <w:rPr>
                <w:rFonts w:ascii="Times New Roman" w:hAnsi="Times New Roman" w:cs="Times New Roman"/>
                <w:sz w:val="24"/>
                <w:szCs w:val="24"/>
              </w:rPr>
              <w:t>t</w:t>
            </w:r>
            <w:r w:rsidR="00361F67" w:rsidRPr="00426F2E">
              <w:rPr>
                <w:rFonts w:ascii="Times New Roman" w:hAnsi="Times New Roman" w:cs="Times New Roman"/>
                <w:sz w:val="24"/>
                <w:szCs w:val="24"/>
              </w:rPr>
              <w:t xml:space="preserve">area principiului </w:t>
            </w:r>
            <w:r w:rsidR="00361F67" w:rsidRPr="00013A5A">
              <w:rPr>
                <w:rFonts w:ascii="Times New Roman" w:hAnsi="Times New Roman" w:cs="Times New Roman"/>
                <w:i/>
                <w:sz w:val="24"/>
                <w:szCs w:val="24"/>
              </w:rPr>
              <w:t>pay for performance</w:t>
            </w:r>
            <w:r w:rsidR="00361F67" w:rsidRPr="00426F2E">
              <w:rPr>
                <w:rFonts w:ascii="Times New Roman" w:hAnsi="Times New Roman" w:cs="Times New Roman"/>
                <w:sz w:val="24"/>
                <w:szCs w:val="24"/>
              </w:rPr>
              <w:t xml:space="preserve">  (bonusuri de performanță) în sistemul public</w:t>
            </w:r>
          </w:p>
        </w:tc>
        <w:tc>
          <w:tcPr>
            <w:tcW w:w="2785" w:type="dxa"/>
          </w:tcPr>
          <w:p w14:paraId="54E63835" w14:textId="77777777" w:rsidR="00361F67" w:rsidRPr="00426F2E" w:rsidRDefault="00361F67" w:rsidP="00552751">
            <w:pPr>
              <w:spacing w:line="276" w:lineRule="auto"/>
              <w:jc w:val="both"/>
              <w:rPr>
                <w:rFonts w:ascii="Times New Roman" w:hAnsi="Times New Roman" w:cs="Times New Roman"/>
                <w:sz w:val="24"/>
                <w:szCs w:val="24"/>
              </w:rPr>
            </w:pPr>
            <w:r w:rsidRPr="00426F2E">
              <w:rPr>
                <w:rFonts w:ascii="Times New Roman" w:hAnsi="Times New Roman" w:cs="Times New Roman"/>
                <w:sz w:val="24"/>
                <w:szCs w:val="24"/>
              </w:rPr>
              <w:t>400.000</w:t>
            </w:r>
          </w:p>
        </w:tc>
      </w:tr>
      <w:tr w:rsidR="00361F67" w:rsidRPr="00426F2E" w14:paraId="193C0743" w14:textId="77777777" w:rsidTr="00552751">
        <w:tc>
          <w:tcPr>
            <w:tcW w:w="985" w:type="dxa"/>
          </w:tcPr>
          <w:p w14:paraId="6FAC2375" w14:textId="77777777" w:rsidR="00361F67" w:rsidRPr="00426F2E" w:rsidRDefault="00361F67" w:rsidP="00552751">
            <w:pPr>
              <w:spacing w:line="276" w:lineRule="auto"/>
              <w:jc w:val="both"/>
              <w:rPr>
                <w:rFonts w:ascii="Times New Roman" w:hAnsi="Times New Roman" w:cs="Times New Roman"/>
              </w:rPr>
            </w:pPr>
            <w:r w:rsidRPr="00426F2E">
              <w:rPr>
                <w:rFonts w:ascii="Times New Roman" w:hAnsi="Times New Roman" w:cs="Times New Roman"/>
              </w:rPr>
              <w:t>3</w:t>
            </w:r>
          </w:p>
        </w:tc>
        <w:tc>
          <w:tcPr>
            <w:tcW w:w="5580" w:type="dxa"/>
          </w:tcPr>
          <w:p w14:paraId="39D93478" w14:textId="769D3BE4" w:rsidR="00361F67" w:rsidRPr="00426F2E" w:rsidRDefault="00361F67" w:rsidP="00552751">
            <w:pPr>
              <w:spacing w:line="276" w:lineRule="auto"/>
              <w:jc w:val="both"/>
              <w:rPr>
                <w:rFonts w:ascii="Times New Roman" w:hAnsi="Times New Roman" w:cs="Times New Roman"/>
                <w:sz w:val="24"/>
                <w:szCs w:val="24"/>
              </w:rPr>
            </w:pPr>
            <w:r w:rsidRPr="00426F2E">
              <w:rPr>
                <w:rFonts w:ascii="Times New Roman" w:hAnsi="Times New Roman" w:cs="Times New Roman"/>
                <w:sz w:val="24"/>
                <w:szCs w:val="24"/>
              </w:rPr>
              <w:t>Un set de recomandări tehnice pen</w:t>
            </w:r>
            <w:r w:rsidR="007925BD" w:rsidRPr="00426F2E">
              <w:rPr>
                <w:rFonts w:ascii="Times New Roman" w:hAnsi="Times New Roman" w:cs="Times New Roman"/>
                <w:sz w:val="24"/>
                <w:szCs w:val="24"/>
              </w:rPr>
              <w:t>tru elaborarea viitorului cadru legislativ</w:t>
            </w:r>
            <w:r w:rsidRPr="00426F2E">
              <w:rPr>
                <w:rFonts w:ascii="Times New Roman" w:hAnsi="Times New Roman" w:cs="Times New Roman"/>
                <w:sz w:val="24"/>
                <w:szCs w:val="24"/>
              </w:rPr>
              <w:t xml:space="preserve"> privind salarizarea în sistemul public</w:t>
            </w:r>
          </w:p>
        </w:tc>
        <w:tc>
          <w:tcPr>
            <w:tcW w:w="2785" w:type="dxa"/>
          </w:tcPr>
          <w:p w14:paraId="5CBEA7E6" w14:textId="77777777" w:rsidR="00361F67" w:rsidRPr="00426F2E" w:rsidRDefault="00361F67" w:rsidP="00552751">
            <w:pPr>
              <w:spacing w:line="276" w:lineRule="auto"/>
              <w:jc w:val="both"/>
              <w:rPr>
                <w:rFonts w:ascii="Times New Roman" w:hAnsi="Times New Roman" w:cs="Times New Roman"/>
                <w:sz w:val="24"/>
                <w:szCs w:val="24"/>
              </w:rPr>
            </w:pPr>
            <w:r w:rsidRPr="00426F2E">
              <w:rPr>
                <w:rFonts w:ascii="Times New Roman" w:hAnsi="Times New Roman" w:cs="Times New Roman"/>
                <w:sz w:val="24"/>
                <w:szCs w:val="24"/>
              </w:rPr>
              <w:t xml:space="preserve">700.000 </w:t>
            </w:r>
          </w:p>
        </w:tc>
      </w:tr>
      <w:tr w:rsidR="00361F67" w:rsidRPr="00426F2E" w14:paraId="5513FCA9" w14:textId="77777777" w:rsidTr="00552751">
        <w:tc>
          <w:tcPr>
            <w:tcW w:w="985" w:type="dxa"/>
          </w:tcPr>
          <w:p w14:paraId="2EEF4D9D" w14:textId="77777777" w:rsidR="00361F67" w:rsidRPr="00426F2E" w:rsidRDefault="00361F67" w:rsidP="00552751">
            <w:pPr>
              <w:spacing w:line="276" w:lineRule="auto"/>
              <w:jc w:val="both"/>
              <w:rPr>
                <w:rFonts w:ascii="Times New Roman" w:hAnsi="Times New Roman" w:cs="Times New Roman"/>
              </w:rPr>
            </w:pPr>
            <w:r w:rsidRPr="00426F2E">
              <w:rPr>
                <w:rFonts w:ascii="Times New Roman" w:hAnsi="Times New Roman" w:cs="Times New Roman"/>
              </w:rPr>
              <w:t>4</w:t>
            </w:r>
          </w:p>
        </w:tc>
        <w:tc>
          <w:tcPr>
            <w:tcW w:w="5580" w:type="dxa"/>
          </w:tcPr>
          <w:p w14:paraId="2D814352" w14:textId="77777777" w:rsidR="00361F67" w:rsidRPr="00426F2E" w:rsidRDefault="00361F67" w:rsidP="00552751">
            <w:pPr>
              <w:spacing w:line="276" w:lineRule="auto"/>
              <w:jc w:val="both"/>
              <w:rPr>
                <w:rFonts w:ascii="Times New Roman" w:hAnsi="Times New Roman" w:cs="Times New Roman"/>
                <w:sz w:val="24"/>
                <w:szCs w:val="24"/>
              </w:rPr>
            </w:pPr>
            <w:r w:rsidRPr="00426F2E">
              <w:rPr>
                <w:rFonts w:ascii="Times New Roman" w:hAnsi="Times New Roman" w:cs="Times New Roman"/>
                <w:sz w:val="24"/>
                <w:szCs w:val="24"/>
              </w:rPr>
              <w:t>Un raport de implementare a noii legi privind salarizarea în sistemul public, ce va conține un capitol de recomandări</w:t>
            </w:r>
          </w:p>
        </w:tc>
        <w:tc>
          <w:tcPr>
            <w:tcW w:w="2785" w:type="dxa"/>
          </w:tcPr>
          <w:p w14:paraId="53007EF9" w14:textId="77777777" w:rsidR="00361F67" w:rsidRPr="00426F2E" w:rsidRDefault="00361F67" w:rsidP="00552751">
            <w:pPr>
              <w:spacing w:line="276" w:lineRule="auto"/>
              <w:jc w:val="both"/>
              <w:rPr>
                <w:rFonts w:ascii="Times New Roman" w:hAnsi="Times New Roman" w:cs="Times New Roman"/>
                <w:sz w:val="24"/>
                <w:szCs w:val="24"/>
              </w:rPr>
            </w:pPr>
            <w:r w:rsidRPr="00426F2E">
              <w:rPr>
                <w:rFonts w:ascii="Times New Roman" w:hAnsi="Times New Roman" w:cs="Times New Roman"/>
                <w:sz w:val="24"/>
                <w:szCs w:val="24"/>
              </w:rPr>
              <w:t>600.000</w:t>
            </w:r>
          </w:p>
        </w:tc>
      </w:tr>
      <w:tr w:rsidR="00361F67" w:rsidRPr="00426F2E" w14:paraId="307AA05F" w14:textId="77777777" w:rsidTr="00552751">
        <w:tc>
          <w:tcPr>
            <w:tcW w:w="6565" w:type="dxa"/>
            <w:gridSpan w:val="2"/>
          </w:tcPr>
          <w:p w14:paraId="73BBAC53" w14:textId="77777777" w:rsidR="00AE7BAA" w:rsidRPr="00426F2E" w:rsidRDefault="00AE7BAA" w:rsidP="00552751">
            <w:pPr>
              <w:spacing w:line="276" w:lineRule="auto"/>
              <w:jc w:val="both"/>
              <w:rPr>
                <w:rFonts w:ascii="Times New Roman" w:hAnsi="Times New Roman" w:cs="Times New Roman"/>
                <w:b/>
                <w:sz w:val="24"/>
                <w:szCs w:val="24"/>
              </w:rPr>
            </w:pPr>
          </w:p>
          <w:p w14:paraId="4D73EF99" w14:textId="0672DFA2" w:rsidR="00361F67" w:rsidRPr="00426F2E" w:rsidRDefault="00426F2E" w:rsidP="00552751">
            <w:pPr>
              <w:spacing w:line="276" w:lineRule="auto"/>
              <w:jc w:val="both"/>
              <w:rPr>
                <w:rFonts w:ascii="Times New Roman" w:hAnsi="Times New Roman" w:cs="Times New Roman"/>
                <w:b/>
                <w:sz w:val="24"/>
                <w:szCs w:val="24"/>
              </w:rPr>
            </w:pPr>
            <w:r w:rsidRPr="00426F2E">
              <w:rPr>
                <w:rFonts w:ascii="Times New Roman" w:hAnsi="Times New Roman" w:cs="Times New Roman"/>
                <w:b/>
                <w:sz w:val="24"/>
                <w:szCs w:val="24"/>
              </w:rPr>
              <w:t>Total contract asistență</w:t>
            </w:r>
            <w:r w:rsidR="00361F67" w:rsidRPr="00426F2E">
              <w:rPr>
                <w:rFonts w:ascii="Times New Roman" w:hAnsi="Times New Roman" w:cs="Times New Roman"/>
                <w:b/>
                <w:sz w:val="24"/>
                <w:szCs w:val="24"/>
              </w:rPr>
              <w:t xml:space="preserve"> tehnică </w:t>
            </w:r>
          </w:p>
          <w:p w14:paraId="32FA9482" w14:textId="77777777" w:rsidR="00AE7BAA" w:rsidRPr="00426F2E" w:rsidRDefault="00AE7BAA" w:rsidP="00552751">
            <w:pPr>
              <w:spacing w:line="276" w:lineRule="auto"/>
              <w:jc w:val="both"/>
              <w:rPr>
                <w:rFonts w:ascii="Times New Roman" w:hAnsi="Times New Roman" w:cs="Times New Roman"/>
                <w:b/>
                <w:sz w:val="24"/>
                <w:szCs w:val="24"/>
              </w:rPr>
            </w:pPr>
          </w:p>
        </w:tc>
        <w:tc>
          <w:tcPr>
            <w:tcW w:w="2785" w:type="dxa"/>
          </w:tcPr>
          <w:p w14:paraId="01CEF400" w14:textId="77777777" w:rsidR="00AE7BAA" w:rsidRPr="00426F2E" w:rsidRDefault="00AE7BAA" w:rsidP="00552751">
            <w:pPr>
              <w:spacing w:line="276" w:lineRule="auto"/>
              <w:jc w:val="both"/>
              <w:rPr>
                <w:rFonts w:ascii="Times New Roman" w:hAnsi="Times New Roman" w:cs="Times New Roman"/>
                <w:b/>
                <w:sz w:val="24"/>
                <w:szCs w:val="24"/>
              </w:rPr>
            </w:pPr>
          </w:p>
          <w:p w14:paraId="521FFEB1" w14:textId="77777777" w:rsidR="00361F67" w:rsidRPr="00426F2E" w:rsidRDefault="00361F67" w:rsidP="00552751">
            <w:pPr>
              <w:spacing w:line="276" w:lineRule="auto"/>
              <w:jc w:val="both"/>
              <w:rPr>
                <w:rFonts w:ascii="Times New Roman" w:hAnsi="Times New Roman" w:cs="Times New Roman"/>
                <w:b/>
                <w:sz w:val="24"/>
                <w:szCs w:val="24"/>
              </w:rPr>
            </w:pPr>
            <w:r w:rsidRPr="00426F2E">
              <w:rPr>
                <w:rFonts w:ascii="Times New Roman" w:hAnsi="Times New Roman" w:cs="Times New Roman"/>
                <w:b/>
                <w:sz w:val="24"/>
                <w:szCs w:val="24"/>
              </w:rPr>
              <w:t>2.000.000</w:t>
            </w:r>
          </w:p>
        </w:tc>
      </w:tr>
    </w:tbl>
    <w:p w14:paraId="6B672EB5" w14:textId="77777777" w:rsidR="00361F67" w:rsidRPr="005C1B54" w:rsidRDefault="00361F67" w:rsidP="00361F67">
      <w:pPr>
        <w:spacing w:line="276" w:lineRule="auto"/>
        <w:jc w:val="both"/>
        <w:rPr>
          <w:rFonts w:ascii="Trebuchet MS" w:hAnsi="Trebuchet MS"/>
        </w:rPr>
      </w:pPr>
    </w:p>
    <w:p w14:paraId="5C73A95F" w14:textId="77777777" w:rsidR="00361F67" w:rsidRPr="005C1B54" w:rsidRDefault="00361F67" w:rsidP="00DE74B7">
      <w:pPr>
        <w:spacing w:after="0"/>
        <w:jc w:val="both"/>
        <w:rPr>
          <w:rFonts w:ascii="Times New Roman" w:hAnsi="Times New Roman" w:cs="Times New Roman"/>
          <w:color w:val="FF0000"/>
          <w:sz w:val="24"/>
          <w:szCs w:val="24"/>
        </w:rPr>
      </w:pPr>
    </w:p>
    <w:p w14:paraId="4D8C4E59" w14:textId="77777777" w:rsidR="00AF3E0D" w:rsidRPr="005C1B54" w:rsidRDefault="00AF3E0D" w:rsidP="00AF3E0D">
      <w:pPr>
        <w:pStyle w:val="Heading2"/>
        <w:numPr>
          <w:ilvl w:val="0"/>
          <w:numId w:val="14"/>
        </w:numPr>
        <w:spacing w:before="0" w:after="160"/>
        <w:jc w:val="both"/>
        <w:rPr>
          <w:rFonts w:ascii="Times New Roman" w:hAnsi="Times New Roman" w:cs="Times New Roman"/>
          <w:b/>
          <w:bCs/>
          <w:color w:val="auto"/>
          <w:sz w:val="24"/>
          <w:szCs w:val="24"/>
          <w:u w:val="single"/>
          <w:lang w:val="ro-RO"/>
        </w:rPr>
      </w:pPr>
      <w:bookmarkStart w:id="5" w:name="_Toc61252491"/>
      <w:bookmarkStart w:id="6" w:name="_Toc62048398"/>
      <w:r w:rsidRPr="005C1B54">
        <w:rPr>
          <w:rFonts w:ascii="Times New Roman" w:hAnsi="Times New Roman" w:cs="Times New Roman"/>
          <w:b/>
          <w:bCs/>
          <w:color w:val="auto"/>
          <w:sz w:val="24"/>
          <w:szCs w:val="24"/>
          <w:u w:val="single"/>
          <w:lang w:val="ro-RO"/>
        </w:rPr>
        <w:t>Loan request justification (if applicable)</w:t>
      </w:r>
      <w:bookmarkEnd w:id="5"/>
      <w:bookmarkEnd w:id="6"/>
    </w:p>
    <w:p w14:paraId="03ED9C28" w14:textId="77777777" w:rsidR="00AF3E0D" w:rsidRPr="005C1B54" w:rsidRDefault="00AF3E0D" w:rsidP="00DA7D64">
      <w:pPr>
        <w:spacing w:after="0"/>
        <w:rPr>
          <w:rFonts w:ascii="Times New Roman" w:hAnsi="Times New Roman" w:cs="Times New Roman"/>
          <w:b/>
          <w:bCs/>
          <w:sz w:val="24"/>
          <w:szCs w:val="24"/>
        </w:rPr>
      </w:pPr>
    </w:p>
    <w:bookmarkEnd w:id="0"/>
    <w:p w14:paraId="2FA96F4E" w14:textId="7D51C29E" w:rsidR="00AF3E0D" w:rsidRPr="005C1B54" w:rsidRDefault="00AF3E0D" w:rsidP="00AE7BAA">
      <w:pPr>
        <w:pStyle w:val="ListParagraph"/>
        <w:ind w:left="1440"/>
        <w:rPr>
          <w:rFonts w:ascii="Times New Roman" w:hAnsi="Times New Roman" w:cs="Times New Roman"/>
          <w:sz w:val="24"/>
          <w:szCs w:val="24"/>
        </w:rPr>
      </w:pPr>
    </w:p>
    <w:sectPr w:rsidR="00AF3E0D" w:rsidRPr="005C1B54" w:rsidSect="0010052B">
      <w:pgSz w:w="12240" w:h="15840"/>
      <w:pgMar w:top="1440"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A1493" w14:textId="77777777" w:rsidR="001869C1" w:rsidRDefault="001869C1" w:rsidP="00AD5A82">
      <w:pPr>
        <w:spacing w:after="0" w:line="240" w:lineRule="auto"/>
      </w:pPr>
      <w:r>
        <w:separator/>
      </w:r>
    </w:p>
  </w:endnote>
  <w:endnote w:type="continuationSeparator" w:id="0">
    <w:p w14:paraId="2DCFBECD" w14:textId="77777777" w:rsidR="001869C1" w:rsidRDefault="001869C1" w:rsidP="00AD5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4DC26" w14:textId="77777777" w:rsidR="001869C1" w:rsidRDefault="001869C1" w:rsidP="00AD5A82">
      <w:pPr>
        <w:spacing w:after="0" w:line="240" w:lineRule="auto"/>
      </w:pPr>
      <w:r>
        <w:separator/>
      </w:r>
    </w:p>
  </w:footnote>
  <w:footnote w:type="continuationSeparator" w:id="0">
    <w:p w14:paraId="5F891FC2" w14:textId="77777777" w:rsidR="001869C1" w:rsidRDefault="001869C1" w:rsidP="00AD5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83F77"/>
    <w:multiLevelType w:val="hybridMultilevel"/>
    <w:tmpl w:val="519AFA32"/>
    <w:lvl w:ilvl="0" w:tplc="5C940E8C">
      <w:start w:val="1"/>
      <w:numFmt w:val="decimal"/>
      <w:lvlText w:val="%1."/>
      <w:lvlJc w:val="left"/>
      <w:pPr>
        <w:ind w:left="360" w:hanging="360"/>
      </w:pPr>
      <w:rPr>
        <w:b w:val="0"/>
        <w:i w:val="0"/>
        <w:color w:val="000000" w:themeColor="text1"/>
        <w:sz w:val="24"/>
        <w:szCs w:val="24"/>
      </w:rPr>
    </w:lvl>
    <w:lvl w:ilvl="1" w:tplc="0409000B">
      <w:start w:val="1"/>
      <w:numFmt w:val="bullet"/>
      <w:lvlText w:val=""/>
      <w:lvlJc w:val="left"/>
      <w:pPr>
        <w:ind w:left="1080" w:hanging="360"/>
      </w:pPr>
      <w:rPr>
        <w:rFonts w:ascii="Wingdings" w:hAnsi="Wingdings" w:hint="default"/>
      </w:rPr>
    </w:lvl>
    <w:lvl w:ilvl="2" w:tplc="F534969E">
      <w:start w:val="1"/>
      <w:numFmt w:val="lowerRoman"/>
      <w:lvlText w:val="%3."/>
      <w:lvlJc w:val="right"/>
      <w:pPr>
        <w:ind w:left="1980" w:hanging="360"/>
      </w:pPr>
      <w:rPr>
        <w:b/>
        <w:color w:val="auto"/>
      </w:rPr>
    </w:lvl>
    <w:lvl w:ilvl="3" w:tplc="CE2AB062">
      <w:start w:val="1"/>
      <w:numFmt w:val="upperLetter"/>
      <w:lvlText w:val="%4."/>
      <w:lvlJc w:val="left"/>
      <w:pPr>
        <w:ind w:left="2520" w:hanging="360"/>
      </w:pPr>
      <w:rPr>
        <w:rFonts w:asciiTheme="majorHAnsi" w:eastAsiaTheme="minorEastAsia" w:hAnsiTheme="majorHAnsi" w:cstheme="minorHAnsi"/>
        <w:b w:val="0"/>
      </w:rPr>
    </w:lvl>
    <w:lvl w:ilvl="4" w:tplc="6CF8BE9C">
      <w:numFmt w:val="bullet"/>
      <w:lvlText w:val="•"/>
      <w:lvlJc w:val="left"/>
      <w:pPr>
        <w:ind w:left="3240" w:hanging="360"/>
      </w:pPr>
      <w:rPr>
        <w:rFonts w:ascii="Garamond" w:eastAsiaTheme="minorEastAsia" w:hAnsi="Garamond" w:cs="Times New Roman" w:hint="default"/>
      </w:rPr>
    </w:lvl>
    <w:lvl w:ilvl="5" w:tplc="96605742">
      <w:start w:val="1"/>
      <w:numFmt w:val="lowerRoman"/>
      <w:lvlText w:val="%6."/>
      <w:lvlJc w:val="left"/>
      <w:pPr>
        <w:ind w:left="4500" w:hanging="72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BD21BC1"/>
    <w:multiLevelType w:val="hybridMultilevel"/>
    <w:tmpl w:val="BE0ED2A0"/>
    <w:lvl w:ilvl="0" w:tplc="F52AFE0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E55AE"/>
    <w:multiLevelType w:val="hybridMultilevel"/>
    <w:tmpl w:val="038C756A"/>
    <w:lvl w:ilvl="0" w:tplc="E6E45D2A">
      <w:start w:val="1"/>
      <w:numFmt w:val="bullet"/>
      <w:lvlText w:val="o"/>
      <w:lvlJc w:val="left"/>
      <w:pPr>
        <w:tabs>
          <w:tab w:val="num" w:pos="720"/>
        </w:tabs>
        <w:ind w:left="720" w:hanging="360"/>
      </w:pPr>
      <w:rPr>
        <w:rFonts w:ascii="Courier New" w:hAnsi="Courier New" w:cs="Times New Roman" w:hint="default"/>
        <w:sz w:val="20"/>
      </w:rPr>
    </w:lvl>
    <w:lvl w:ilvl="1" w:tplc="69E041A6">
      <w:start w:val="1"/>
      <w:numFmt w:val="upperLetter"/>
      <w:lvlText w:val="%2."/>
      <w:lvlJc w:val="left"/>
      <w:pPr>
        <w:ind w:left="1440" w:hanging="360"/>
      </w:pPr>
    </w:lvl>
    <w:lvl w:ilvl="2" w:tplc="DC32EE74">
      <w:start w:val="2"/>
      <w:numFmt w:val="bullet"/>
      <w:lvlText w:val="-"/>
      <w:lvlJc w:val="left"/>
      <w:pPr>
        <w:ind w:left="2160" w:hanging="360"/>
      </w:pPr>
      <w:rPr>
        <w:rFonts w:ascii="Times New Roman" w:eastAsiaTheme="minorHAnsi" w:hAnsi="Times New Roman" w:cs="Times New Roman" w:hint="default"/>
      </w:rPr>
    </w:lvl>
    <w:lvl w:ilvl="3" w:tplc="ED6E18A8">
      <w:numFmt w:val="bullet"/>
      <w:lvlText w:val=""/>
      <w:lvlJc w:val="left"/>
      <w:pPr>
        <w:ind w:left="2880" w:hanging="360"/>
      </w:pPr>
      <w:rPr>
        <w:rFonts w:ascii="Symbol" w:eastAsiaTheme="minorHAnsi" w:hAnsi="Symbol" w:cstheme="minorBidi" w:hint="default"/>
        <w:b/>
      </w:rPr>
    </w:lvl>
    <w:lvl w:ilvl="4" w:tplc="3B8CF7F6">
      <w:start w:val="1"/>
      <w:numFmt w:val="bullet"/>
      <w:lvlText w:val="o"/>
      <w:lvlJc w:val="left"/>
      <w:pPr>
        <w:tabs>
          <w:tab w:val="num" w:pos="3600"/>
        </w:tabs>
        <w:ind w:left="3600" w:hanging="360"/>
      </w:pPr>
      <w:rPr>
        <w:rFonts w:ascii="Courier New" w:hAnsi="Courier New" w:cs="Times New Roman" w:hint="default"/>
        <w:sz w:val="20"/>
      </w:rPr>
    </w:lvl>
    <w:lvl w:ilvl="5" w:tplc="3C60A0C0">
      <w:start w:val="1"/>
      <w:numFmt w:val="bullet"/>
      <w:lvlText w:val="o"/>
      <w:lvlJc w:val="left"/>
      <w:pPr>
        <w:tabs>
          <w:tab w:val="num" w:pos="4320"/>
        </w:tabs>
        <w:ind w:left="4320" w:hanging="360"/>
      </w:pPr>
      <w:rPr>
        <w:rFonts w:ascii="Courier New" w:hAnsi="Courier New" w:cs="Times New Roman" w:hint="default"/>
        <w:sz w:val="20"/>
      </w:rPr>
    </w:lvl>
    <w:lvl w:ilvl="6" w:tplc="5C6030CC">
      <w:start w:val="1"/>
      <w:numFmt w:val="bullet"/>
      <w:lvlText w:val="o"/>
      <w:lvlJc w:val="left"/>
      <w:pPr>
        <w:tabs>
          <w:tab w:val="num" w:pos="5040"/>
        </w:tabs>
        <w:ind w:left="5040" w:hanging="360"/>
      </w:pPr>
      <w:rPr>
        <w:rFonts w:ascii="Courier New" w:hAnsi="Courier New" w:cs="Times New Roman" w:hint="default"/>
        <w:sz w:val="20"/>
      </w:rPr>
    </w:lvl>
    <w:lvl w:ilvl="7" w:tplc="4BE877AC">
      <w:start w:val="1"/>
      <w:numFmt w:val="bullet"/>
      <w:lvlText w:val="o"/>
      <w:lvlJc w:val="left"/>
      <w:pPr>
        <w:tabs>
          <w:tab w:val="num" w:pos="5760"/>
        </w:tabs>
        <w:ind w:left="5760" w:hanging="360"/>
      </w:pPr>
      <w:rPr>
        <w:rFonts w:ascii="Courier New" w:hAnsi="Courier New" w:cs="Times New Roman" w:hint="default"/>
        <w:sz w:val="20"/>
      </w:rPr>
    </w:lvl>
    <w:lvl w:ilvl="8" w:tplc="9F54FC6C">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165D27FA"/>
    <w:multiLevelType w:val="hybridMultilevel"/>
    <w:tmpl w:val="B40CBFF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D4C1B6B"/>
    <w:multiLevelType w:val="hybridMultilevel"/>
    <w:tmpl w:val="357AD1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E4A4038"/>
    <w:multiLevelType w:val="hybridMultilevel"/>
    <w:tmpl w:val="2092C3FE"/>
    <w:lvl w:ilvl="0" w:tplc="850EDB1E">
      <w:start w:val="1"/>
      <w:numFmt w:val="decimal"/>
      <w:lvlText w:val="%1."/>
      <w:lvlJc w:val="left"/>
      <w:pPr>
        <w:tabs>
          <w:tab w:val="num" w:pos="720"/>
        </w:tabs>
        <w:ind w:left="720" w:hanging="720"/>
      </w:pPr>
      <w:rPr>
        <w:color w:val="auto"/>
      </w:rPr>
    </w:lvl>
    <w:lvl w:ilvl="1" w:tplc="57302690">
      <w:start w:val="1"/>
      <w:numFmt w:val="decimal"/>
      <w:lvlText w:val="%2."/>
      <w:lvlJc w:val="left"/>
      <w:pPr>
        <w:tabs>
          <w:tab w:val="num" w:pos="1440"/>
        </w:tabs>
        <w:ind w:left="1440" w:hanging="720"/>
      </w:pPr>
    </w:lvl>
    <w:lvl w:ilvl="2" w:tplc="C7882E56">
      <w:start w:val="1"/>
      <w:numFmt w:val="decimal"/>
      <w:lvlText w:val="%3."/>
      <w:lvlJc w:val="left"/>
      <w:pPr>
        <w:tabs>
          <w:tab w:val="num" w:pos="2160"/>
        </w:tabs>
        <w:ind w:left="2160" w:hanging="720"/>
      </w:pPr>
    </w:lvl>
    <w:lvl w:ilvl="3" w:tplc="203889B0">
      <w:start w:val="1"/>
      <w:numFmt w:val="decimal"/>
      <w:lvlText w:val="%4."/>
      <w:lvlJc w:val="left"/>
      <w:pPr>
        <w:tabs>
          <w:tab w:val="num" w:pos="2880"/>
        </w:tabs>
        <w:ind w:left="2880" w:hanging="720"/>
      </w:pPr>
    </w:lvl>
    <w:lvl w:ilvl="4" w:tplc="90DE218C">
      <w:start w:val="1"/>
      <w:numFmt w:val="decimal"/>
      <w:lvlText w:val="%5."/>
      <w:lvlJc w:val="left"/>
      <w:pPr>
        <w:tabs>
          <w:tab w:val="num" w:pos="3600"/>
        </w:tabs>
        <w:ind w:left="3600" w:hanging="720"/>
      </w:pPr>
    </w:lvl>
    <w:lvl w:ilvl="5" w:tplc="61F0AE3A">
      <w:start w:val="1"/>
      <w:numFmt w:val="decimal"/>
      <w:lvlText w:val="%6."/>
      <w:lvlJc w:val="left"/>
      <w:pPr>
        <w:tabs>
          <w:tab w:val="num" w:pos="4320"/>
        </w:tabs>
        <w:ind w:left="4320" w:hanging="720"/>
      </w:pPr>
    </w:lvl>
    <w:lvl w:ilvl="6" w:tplc="63309A90">
      <w:start w:val="1"/>
      <w:numFmt w:val="decimal"/>
      <w:lvlText w:val="%7."/>
      <w:lvlJc w:val="left"/>
      <w:pPr>
        <w:tabs>
          <w:tab w:val="num" w:pos="5040"/>
        </w:tabs>
        <w:ind w:left="5040" w:hanging="720"/>
      </w:pPr>
    </w:lvl>
    <w:lvl w:ilvl="7" w:tplc="30D4B1D8">
      <w:start w:val="1"/>
      <w:numFmt w:val="decimal"/>
      <w:lvlText w:val="%8."/>
      <w:lvlJc w:val="left"/>
      <w:pPr>
        <w:tabs>
          <w:tab w:val="num" w:pos="5760"/>
        </w:tabs>
        <w:ind w:left="5760" w:hanging="720"/>
      </w:pPr>
    </w:lvl>
    <w:lvl w:ilvl="8" w:tplc="486A5C82">
      <w:start w:val="1"/>
      <w:numFmt w:val="decimal"/>
      <w:lvlText w:val="%9."/>
      <w:lvlJc w:val="left"/>
      <w:pPr>
        <w:tabs>
          <w:tab w:val="num" w:pos="6480"/>
        </w:tabs>
        <w:ind w:left="6480" w:hanging="720"/>
      </w:pPr>
    </w:lvl>
  </w:abstractNum>
  <w:abstractNum w:abstractNumId="6" w15:restartNumberingAfterBreak="0">
    <w:nsid w:val="23F110BA"/>
    <w:multiLevelType w:val="hybridMultilevel"/>
    <w:tmpl w:val="C406CC90"/>
    <w:lvl w:ilvl="0" w:tplc="F52AFE0C">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BC5B92"/>
    <w:multiLevelType w:val="hybridMultilevel"/>
    <w:tmpl w:val="7A70B73C"/>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37FC0F4A"/>
    <w:multiLevelType w:val="hybridMultilevel"/>
    <w:tmpl w:val="30966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FC6DD4"/>
    <w:multiLevelType w:val="hybridMultilevel"/>
    <w:tmpl w:val="E946D3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B321B61"/>
    <w:multiLevelType w:val="hybridMultilevel"/>
    <w:tmpl w:val="CF082354"/>
    <w:lvl w:ilvl="0" w:tplc="2BCEE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744545"/>
    <w:multiLevelType w:val="hybridMultilevel"/>
    <w:tmpl w:val="A628B7B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61BA6459"/>
    <w:multiLevelType w:val="hybridMultilevel"/>
    <w:tmpl w:val="469AF85A"/>
    <w:lvl w:ilvl="0" w:tplc="1B6082A4">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5680958"/>
    <w:multiLevelType w:val="hybridMultilevel"/>
    <w:tmpl w:val="A0C04F7C"/>
    <w:lvl w:ilvl="0" w:tplc="C52CDE40">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11B794B"/>
    <w:multiLevelType w:val="hybridMultilevel"/>
    <w:tmpl w:val="AE78C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2B2B24"/>
    <w:multiLevelType w:val="hybridMultilevel"/>
    <w:tmpl w:val="705848A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13"/>
  </w:num>
  <w:num w:numId="3">
    <w:abstractNumId w:val="12"/>
  </w:num>
  <w:num w:numId="4">
    <w:abstractNumId w:val="2"/>
    <w:lvlOverride w:ilvl="0"/>
    <w:lvlOverride w:ilvl="1">
      <w:startOverride w:val="1"/>
    </w:lvlOverride>
    <w:lvlOverride w:ilvl="2"/>
    <w:lvlOverride w:ilvl="3"/>
    <w:lvlOverride w:ilvl="4"/>
    <w:lvlOverride w:ilvl="5"/>
    <w:lvlOverride w:ilvl="6"/>
    <w:lvlOverride w:ilvl="7"/>
    <w:lvlOverride w:ilvl="8"/>
  </w:num>
  <w:num w:numId="5">
    <w:abstractNumId w:val="0"/>
    <w:lvlOverride w:ilvl="0">
      <w:startOverride w:val="1"/>
    </w:lvlOverride>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4"/>
  </w:num>
  <w:num w:numId="9">
    <w:abstractNumId w:val="8"/>
  </w:num>
  <w:num w:numId="10">
    <w:abstractNumId w:val="9"/>
  </w:num>
  <w:num w:numId="11">
    <w:abstractNumId w:val="6"/>
  </w:num>
  <w:num w:numId="12">
    <w:abstractNumId w:val="1"/>
  </w:num>
  <w:num w:numId="13">
    <w:abstractNumId w:val="2"/>
  </w:num>
  <w:num w:numId="14">
    <w:abstractNumId w:val="5"/>
  </w:num>
  <w:num w:numId="15">
    <w:abstractNumId w:val="11"/>
  </w:num>
  <w:num w:numId="16">
    <w:abstractNumId w:val="0"/>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4B7"/>
    <w:rsid w:val="0000385A"/>
    <w:rsid w:val="00013A5A"/>
    <w:rsid w:val="000549E7"/>
    <w:rsid w:val="00061119"/>
    <w:rsid w:val="00074DA2"/>
    <w:rsid w:val="000841E6"/>
    <w:rsid w:val="00091CFB"/>
    <w:rsid w:val="000A765F"/>
    <w:rsid w:val="000B3236"/>
    <w:rsid w:val="0010052B"/>
    <w:rsid w:val="0013373B"/>
    <w:rsid w:val="001400B8"/>
    <w:rsid w:val="001620E2"/>
    <w:rsid w:val="001712BB"/>
    <w:rsid w:val="00184C7E"/>
    <w:rsid w:val="001869C1"/>
    <w:rsid w:val="00190AD3"/>
    <w:rsid w:val="0019396B"/>
    <w:rsid w:val="00196A38"/>
    <w:rsid w:val="001A3D8F"/>
    <w:rsid w:val="001A654F"/>
    <w:rsid w:val="001B2693"/>
    <w:rsid w:val="001B30C2"/>
    <w:rsid w:val="001D5621"/>
    <w:rsid w:val="001D6DBF"/>
    <w:rsid w:val="0020257C"/>
    <w:rsid w:val="00235E3B"/>
    <w:rsid w:val="002776B6"/>
    <w:rsid w:val="00287C94"/>
    <w:rsid w:val="002B280F"/>
    <w:rsid w:val="002B6376"/>
    <w:rsid w:val="002E26E4"/>
    <w:rsid w:val="00303ABA"/>
    <w:rsid w:val="00317810"/>
    <w:rsid w:val="003233B7"/>
    <w:rsid w:val="00341E0F"/>
    <w:rsid w:val="00343D8F"/>
    <w:rsid w:val="003443E6"/>
    <w:rsid w:val="003449E4"/>
    <w:rsid w:val="00351839"/>
    <w:rsid w:val="00352CFD"/>
    <w:rsid w:val="003532C1"/>
    <w:rsid w:val="00361F67"/>
    <w:rsid w:val="003820BD"/>
    <w:rsid w:val="00384EDD"/>
    <w:rsid w:val="003A2DAC"/>
    <w:rsid w:val="003A73D3"/>
    <w:rsid w:val="003B0FFF"/>
    <w:rsid w:val="003D7C2C"/>
    <w:rsid w:val="00423159"/>
    <w:rsid w:val="00424C40"/>
    <w:rsid w:val="00426F2E"/>
    <w:rsid w:val="00444FFC"/>
    <w:rsid w:val="00446474"/>
    <w:rsid w:val="004531C2"/>
    <w:rsid w:val="00485741"/>
    <w:rsid w:val="00486397"/>
    <w:rsid w:val="004D57DF"/>
    <w:rsid w:val="00510EC2"/>
    <w:rsid w:val="0053008F"/>
    <w:rsid w:val="005310CD"/>
    <w:rsid w:val="005344B5"/>
    <w:rsid w:val="0055260E"/>
    <w:rsid w:val="0056474A"/>
    <w:rsid w:val="005761AD"/>
    <w:rsid w:val="0058700F"/>
    <w:rsid w:val="005C1B54"/>
    <w:rsid w:val="005C5B49"/>
    <w:rsid w:val="005F1622"/>
    <w:rsid w:val="006240A3"/>
    <w:rsid w:val="006514B6"/>
    <w:rsid w:val="00671EE6"/>
    <w:rsid w:val="00686BA5"/>
    <w:rsid w:val="006E790D"/>
    <w:rsid w:val="006E7D53"/>
    <w:rsid w:val="00711B35"/>
    <w:rsid w:val="0073636C"/>
    <w:rsid w:val="00740456"/>
    <w:rsid w:val="0075138B"/>
    <w:rsid w:val="00770F40"/>
    <w:rsid w:val="007741D0"/>
    <w:rsid w:val="007776FB"/>
    <w:rsid w:val="00786910"/>
    <w:rsid w:val="007925BD"/>
    <w:rsid w:val="007930D8"/>
    <w:rsid w:val="007A0E72"/>
    <w:rsid w:val="007A3BC4"/>
    <w:rsid w:val="007B6C55"/>
    <w:rsid w:val="007E60F9"/>
    <w:rsid w:val="00811C41"/>
    <w:rsid w:val="00813276"/>
    <w:rsid w:val="008318E3"/>
    <w:rsid w:val="00845572"/>
    <w:rsid w:val="0088008F"/>
    <w:rsid w:val="00892770"/>
    <w:rsid w:val="008B180A"/>
    <w:rsid w:val="008B5DF8"/>
    <w:rsid w:val="008D26BE"/>
    <w:rsid w:val="008E0DCC"/>
    <w:rsid w:val="008E3A25"/>
    <w:rsid w:val="00951333"/>
    <w:rsid w:val="00987DC6"/>
    <w:rsid w:val="009B0BBC"/>
    <w:rsid w:val="009B2F72"/>
    <w:rsid w:val="009C20E1"/>
    <w:rsid w:val="009D56BF"/>
    <w:rsid w:val="009E19F0"/>
    <w:rsid w:val="00A22EF4"/>
    <w:rsid w:val="00A361F8"/>
    <w:rsid w:val="00A730B5"/>
    <w:rsid w:val="00A85740"/>
    <w:rsid w:val="00AB3EA0"/>
    <w:rsid w:val="00AB50D2"/>
    <w:rsid w:val="00AD23E7"/>
    <w:rsid w:val="00AD33B0"/>
    <w:rsid w:val="00AD5A82"/>
    <w:rsid w:val="00AE1A8A"/>
    <w:rsid w:val="00AE7BAA"/>
    <w:rsid w:val="00AF3E0D"/>
    <w:rsid w:val="00B10174"/>
    <w:rsid w:val="00B1200E"/>
    <w:rsid w:val="00B607EC"/>
    <w:rsid w:val="00B70D73"/>
    <w:rsid w:val="00BA3EED"/>
    <w:rsid w:val="00BE236A"/>
    <w:rsid w:val="00BF3BBE"/>
    <w:rsid w:val="00BF4526"/>
    <w:rsid w:val="00C056A4"/>
    <w:rsid w:val="00C35F3C"/>
    <w:rsid w:val="00C800F5"/>
    <w:rsid w:val="00CA3CCE"/>
    <w:rsid w:val="00CC4B0B"/>
    <w:rsid w:val="00CC688C"/>
    <w:rsid w:val="00CE378A"/>
    <w:rsid w:val="00CE688E"/>
    <w:rsid w:val="00CF35EF"/>
    <w:rsid w:val="00D01CEB"/>
    <w:rsid w:val="00D078F3"/>
    <w:rsid w:val="00D44FD4"/>
    <w:rsid w:val="00DA7D64"/>
    <w:rsid w:val="00DC0510"/>
    <w:rsid w:val="00DC20BB"/>
    <w:rsid w:val="00DD0BD1"/>
    <w:rsid w:val="00DE0FE7"/>
    <w:rsid w:val="00DE26F6"/>
    <w:rsid w:val="00DE74B7"/>
    <w:rsid w:val="00E02836"/>
    <w:rsid w:val="00E13652"/>
    <w:rsid w:val="00E14181"/>
    <w:rsid w:val="00E22E07"/>
    <w:rsid w:val="00E51111"/>
    <w:rsid w:val="00E540A6"/>
    <w:rsid w:val="00E66501"/>
    <w:rsid w:val="00E761C9"/>
    <w:rsid w:val="00E8636A"/>
    <w:rsid w:val="00EA7670"/>
    <w:rsid w:val="00EB2D6F"/>
    <w:rsid w:val="00EB606D"/>
    <w:rsid w:val="00EE562B"/>
    <w:rsid w:val="00F96833"/>
    <w:rsid w:val="00FA3996"/>
    <w:rsid w:val="00FC2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251B1"/>
  <w15:chartTrackingRefBased/>
  <w15:docId w15:val="{ACD97A0F-30B0-4DC2-800B-2851593E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4B7"/>
    <w:rPr>
      <w:noProof/>
      <w:lang w:val="ro-RO"/>
    </w:rPr>
  </w:style>
  <w:style w:type="paragraph" w:styleId="Heading1">
    <w:name w:val="heading 1"/>
    <w:basedOn w:val="Normal"/>
    <w:next w:val="Normal"/>
    <w:link w:val="Heading1Char"/>
    <w:uiPriority w:val="9"/>
    <w:qFormat/>
    <w:rsid w:val="001B26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1"/>
    <w:unhideWhenUsed/>
    <w:qFormat/>
    <w:rsid w:val="001B2693"/>
    <w:pPr>
      <w:keepNext/>
      <w:keepLines/>
      <w:spacing w:before="40" w:after="0"/>
      <w:outlineLvl w:val="1"/>
    </w:pPr>
    <w:rPr>
      <w:rFonts w:asciiTheme="majorHAnsi" w:eastAsiaTheme="majorEastAsia" w:hAnsiTheme="majorHAnsi" w:cstheme="majorBidi"/>
      <w:noProof w:val="0"/>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2,OBC Bullet,Normal 1,Task Body,Viñetas (Inicio Parrafo),Paragrafo elenco,3 Txt tabla,Zerrenda-paragrafoa,Fiche List Paragraph,Dot pt,F5 List Paragraph,List Paragraph1,No Spacing1,List Paragraph Char Char Char,Indicator Text"/>
    <w:basedOn w:val="Normal"/>
    <w:link w:val="ListParagraphChar"/>
    <w:uiPriority w:val="34"/>
    <w:qFormat/>
    <w:rsid w:val="00DE74B7"/>
    <w:pPr>
      <w:ind w:left="720"/>
      <w:contextualSpacing/>
    </w:p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basedOn w:val="DefaultParagraphFont"/>
    <w:link w:val="ListParagraph"/>
    <w:uiPriority w:val="34"/>
    <w:qFormat/>
    <w:locked/>
    <w:rsid w:val="005344B5"/>
    <w:rPr>
      <w:lang w:val="ro-RO"/>
    </w:rPr>
  </w:style>
  <w:style w:type="table" w:styleId="TableGrid">
    <w:name w:val="Table Grid"/>
    <w:basedOn w:val="TableNormal"/>
    <w:uiPriority w:val="39"/>
    <w:rsid w:val="005344B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Char,text Char,Texto nota pie Car Char,fn Char,ft Char,single space Char,FOOTNOTES Char,footnote text Char,ADB Char,WB-Fußnotentext Char,Fußnote Char,WB-Fuﬂnotentext Char,Fuﬂnote Char,Note de bas de page Car Char,Car Char"/>
    <w:basedOn w:val="DefaultParagraphFont"/>
    <w:link w:val="FootnoteText"/>
    <w:uiPriority w:val="99"/>
    <w:semiHidden/>
    <w:locked/>
    <w:rsid w:val="00AD5A82"/>
    <w:rPr>
      <w:sz w:val="20"/>
      <w:szCs w:val="20"/>
    </w:rPr>
  </w:style>
  <w:style w:type="paragraph" w:styleId="FootnoteText">
    <w:name w:val="footnote text"/>
    <w:aliases w:val="Footnote,text,Texto nota pie Car,fn,ft,single space,FOOTNOTES,footnote text,ADB,WB-Fußnotentext,Fußnote,WB-Fuﬂnotentext,Fuﬂnote,Note de bas de page Car,ALTS FOOTNOTE,Footnote Text Char Char Char Char Char Char,Car"/>
    <w:basedOn w:val="Normal"/>
    <w:link w:val="FootnoteTextChar"/>
    <w:uiPriority w:val="99"/>
    <w:semiHidden/>
    <w:unhideWhenUsed/>
    <w:qFormat/>
    <w:rsid w:val="00AD5A82"/>
    <w:pPr>
      <w:spacing w:after="0" w:line="240" w:lineRule="auto"/>
    </w:pPr>
    <w:rPr>
      <w:sz w:val="20"/>
      <w:szCs w:val="20"/>
      <w:lang w:val="en-US"/>
    </w:rPr>
  </w:style>
  <w:style w:type="character" w:customStyle="1" w:styleId="FootnoteTextChar1">
    <w:name w:val="Footnote Text Char1"/>
    <w:basedOn w:val="DefaultParagraphFont"/>
    <w:uiPriority w:val="99"/>
    <w:semiHidden/>
    <w:rsid w:val="00AD5A82"/>
    <w:rPr>
      <w:sz w:val="20"/>
      <w:szCs w:val="20"/>
      <w:lang w:val="ro-RO"/>
    </w:rPr>
  </w:style>
  <w:style w:type="character" w:styleId="FootnoteReference">
    <w:name w:val="footnote reference"/>
    <w:aliases w:val="16 Point,Superscript 6 Point,ftref,Знак сноски-FN,Footnote Reference Number,Estilo de nota al pie de Africa,Footnote Reference_LVL6,Footnote Reference_LVL61,Footnote Reference_LVL62,Footnote Reference_LVL63,f,fr,note bp"/>
    <w:basedOn w:val="DefaultParagraphFont"/>
    <w:link w:val="numberCharCar"/>
    <w:uiPriority w:val="99"/>
    <w:unhideWhenUsed/>
    <w:rsid w:val="00AD5A82"/>
    <w:rPr>
      <w:vertAlign w:val="superscript"/>
    </w:rPr>
  </w:style>
  <w:style w:type="paragraph" w:customStyle="1" w:styleId="numberCharCar">
    <w:name w:val="number Char Car"/>
    <w:aliases w:val="BVI fnr Char1 Car,Footnote symbol Char1 Car,EN Footnote Reference Char Car,Times 10 Point Char Car,Exposant 3 Point Char Car,Footnote reference number Char Car,note TESI Char Car"/>
    <w:basedOn w:val="Normal"/>
    <w:next w:val="Normal"/>
    <w:link w:val="FootnoteReference"/>
    <w:uiPriority w:val="99"/>
    <w:rsid w:val="00AD5A82"/>
    <w:pPr>
      <w:spacing w:line="240" w:lineRule="exact"/>
    </w:pPr>
    <w:rPr>
      <w:vertAlign w:val="superscript"/>
      <w:lang w:val="en-US"/>
    </w:rPr>
  </w:style>
  <w:style w:type="paragraph" w:styleId="Caption">
    <w:name w:val="caption"/>
    <w:basedOn w:val="Normal"/>
    <w:next w:val="Normal"/>
    <w:uiPriority w:val="35"/>
    <w:unhideWhenUsed/>
    <w:qFormat/>
    <w:rsid w:val="00892770"/>
    <w:pPr>
      <w:keepNext/>
      <w:spacing w:before="120" w:after="0" w:line="240" w:lineRule="auto"/>
      <w:jc w:val="both"/>
    </w:pPr>
    <w:rPr>
      <w:i/>
      <w:iCs/>
      <w:noProof w:val="0"/>
      <w:color w:val="44546A" w:themeColor="text2"/>
      <w:sz w:val="18"/>
      <w:szCs w:val="18"/>
      <w:lang w:val="en-US"/>
    </w:rPr>
  </w:style>
  <w:style w:type="paragraph" w:customStyle="1" w:styleId="HeadingRRF">
    <w:name w:val="Heading RRF"/>
    <w:basedOn w:val="Heading1"/>
    <w:link w:val="HeadingRRFChar"/>
    <w:qFormat/>
    <w:rsid w:val="001B2693"/>
    <w:rPr>
      <w:b/>
    </w:rPr>
  </w:style>
  <w:style w:type="character" w:customStyle="1" w:styleId="HeadingRRFChar">
    <w:name w:val="Heading RRF Char"/>
    <w:basedOn w:val="Heading1Char"/>
    <w:link w:val="HeadingRRF"/>
    <w:rsid w:val="001B2693"/>
    <w:rPr>
      <w:rFonts w:asciiTheme="majorHAnsi" w:eastAsiaTheme="majorEastAsia" w:hAnsiTheme="majorHAnsi" w:cstheme="majorBidi"/>
      <w:b/>
      <w:noProof/>
      <w:color w:val="2F5496" w:themeColor="accent1" w:themeShade="BF"/>
      <w:sz w:val="32"/>
      <w:szCs w:val="32"/>
      <w:lang w:val="ro-RO"/>
    </w:rPr>
  </w:style>
  <w:style w:type="character" w:customStyle="1" w:styleId="Heading1Char">
    <w:name w:val="Heading 1 Char"/>
    <w:basedOn w:val="DefaultParagraphFont"/>
    <w:link w:val="Heading1"/>
    <w:uiPriority w:val="9"/>
    <w:rsid w:val="001B2693"/>
    <w:rPr>
      <w:rFonts w:asciiTheme="majorHAnsi" w:eastAsiaTheme="majorEastAsia" w:hAnsiTheme="majorHAnsi" w:cstheme="majorBidi"/>
      <w:noProof/>
      <w:color w:val="2F5496" w:themeColor="accent1" w:themeShade="BF"/>
      <w:sz w:val="32"/>
      <w:szCs w:val="32"/>
      <w:lang w:val="ro-RO"/>
    </w:rPr>
  </w:style>
  <w:style w:type="character" w:customStyle="1" w:styleId="Heading2Char">
    <w:name w:val="Heading 2 Char"/>
    <w:basedOn w:val="DefaultParagraphFont"/>
    <w:link w:val="Heading2"/>
    <w:uiPriority w:val="9"/>
    <w:rsid w:val="001B2693"/>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6240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0A3"/>
    <w:rPr>
      <w:rFonts w:ascii="Segoe UI" w:hAnsi="Segoe UI" w:cs="Segoe UI"/>
      <w:noProof/>
      <w:sz w:val="18"/>
      <w:szCs w:val="18"/>
      <w:lang w:val="ro-RO"/>
    </w:rPr>
  </w:style>
  <w:style w:type="character" w:styleId="CommentReference">
    <w:name w:val="annotation reference"/>
    <w:basedOn w:val="DefaultParagraphFont"/>
    <w:uiPriority w:val="99"/>
    <w:semiHidden/>
    <w:unhideWhenUsed/>
    <w:rsid w:val="006240A3"/>
    <w:rPr>
      <w:sz w:val="16"/>
      <w:szCs w:val="16"/>
    </w:rPr>
  </w:style>
  <w:style w:type="paragraph" w:styleId="CommentText">
    <w:name w:val="annotation text"/>
    <w:basedOn w:val="Normal"/>
    <w:link w:val="CommentTextChar"/>
    <w:uiPriority w:val="99"/>
    <w:semiHidden/>
    <w:unhideWhenUsed/>
    <w:rsid w:val="006240A3"/>
    <w:pPr>
      <w:spacing w:line="240" w:lineRule="auto"/>
    </w:pPr>
    <w:rPr>
      <w:sz w:val="20"/>
      <w:szCs w:val="20"/>
    </w:rPr>
  </w:style>
  <w:style w:type="character" w:customStyle="1" w:styleId="CommentTextChar">
    <w:name w:val="Comment Text Char"/>
    <w:basedOn w:val="DefaultParagraphFont"/>
    <w:link w:val="CommentText"/>
    <w:uiPriority w:val="99"/>
    <w:semiHidden/>
    <w:rsid w:val="006240A3"/>
    <w:rPr>
      <w:noProof/>
      <w:sz w:val="20"/>
      <w:szCs w:val="20"/>
      <w:lang w:val="ro-RO"/>
    </w:rPr>
  </w:style>
  <w:style w:type="paragraph" w:styleId="CommentSubject">
    <w:name w:val="annotation subject"/>
    <w:basedOn w:val="CommentText"/>
    <w:next w:val="CommentText"/>
    <w:link w:val="CommentSubjectChar"/>
    <w:uiPriority w:val="99"/>
    <w:semiHidden/>
    <w:unhideWhenUsed/>
    <w:rsid w:val="006240A3"/>
    <w:rPr>
      <w:b/>
      <w:bCs/>
    </w:rPr>
  </w:style>
  <w:style w:type="character" w:customStyle="1" w:styleId="CommentSubjectChar">
    <w:name w:val="Comment Subject Char"/>
    <w:basedOn w:val="CommentTextChar"/>
    <w:link w:val="CommentSubject"/>
    <w:uiPriority w:val="99"/>
    <w:semiHidden/>
    <w:rsid w:val="006240A3"/>
    <w:rPr>
      <w:b/>
      <w:bCs/>
      <w:noProof/>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306729">
      <w:bodyDiv w:val="1"/>
      <w:marLeft w:val="0"/>
      <w:marRight w:val="0"/>
      <w:marTop w:val="0"/>
      <w:marBottom w:val="0"/>
      <w:divBdr>
        <w:top w:val="none" w:sz="0" w:space="0" w:color="auto"/>
        <w:left w:val="none" w:sz="0" w:space="0" w:color="auto"/>
        <w:bottom w:val="none" w:sz="0" w:space="0" w:color="auto"/>
        <w:right w:val="none" w:sz="0" w:space="0" w:color="auto"/>
      </w:divBdr>
    </w:div>
    <w:div w:id="1204296334">
      <w:bodyDiv w:val="1"/>
      <w:marLeft w:val="0"/>
      <w:marRight w:val="0"/>
      <w:marTop w:val="0"/>
      <w:marBottom w:val="0"/>
      <w:divBdr>
        <w:top w:val="none" w:sz="0" w:space="0" w:color="auto"/>
        <w:left w:val="none" w:sz="0" w:space="0" w:color="auto"/>
        <w:bottom w:val="none" w:sz="0" w:space="0" w:color="auto"/>
        <w:right w:val="none" w:sz="0" w:space="0" w:color="auto"/>
      </w:divBdr>
    </w:div>
    <w:div w:id="1655799151">
      <w:bodyDiv w:val="1"/>
      <w:marLeft w:val="0"/>
      <w:marRight w:val="0"/>
      <w:marTop w:val="0"/>
      <w:marBottom w:val="0"/>
      <w:divBdr>
        <w:top w:val="none" w:sz="0" w:space="0" w:color="auto"/>
        <w:left w:val="none" w:sz="0" w:space="0" w:color="auto"/>
        <w:bottom w:val="none" w:sz="0" w:space="0" w:color="auto"/>
        <w:right w:val="none" w:sz="0" w:space="0" w:color="auto"/>
      </w:divBdr>
    </w:div>
    <w:div w:id="194530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A8BE4-EA4E-46A9-965D-08D5CA912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ZF</dc:creator>
  <cp:keywords/>
  <dc:description/>
  <cp:lastModifiedBy>Oana Mariela Zet</cp:lastModifiedBy>
  <cp:revision>3</cp:revision>
  <cp:lastPrinted>2021-05-05T05:43:00Z</cp:lastPrinted>
  <dcterms:created xsi:type="dcterms:W3CDTF">2021-05-12T14:18:00Z</dcterms:created>
  <dcterms:modified xsi:type="dcterms:W3CDTF">2021-05-30T18:07:00Z</dcterms:modified>
</cp:coreProperties>
</file>