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BF12" w14:textId="6F51B6ED" w:rsidR="00F72196" w:rsidRDefault="00A8159A" w:rsidP="0098548C">
      <w:pPr>
        <w:spacing w:after="0"/>
        <w:jc w:val="both"/>
        <w:rPr>
          <w:b/>
          <w:sz w:val="28"/>
          <w:szCs w:val="28"/>
        </w:rPr>
      </w:pPr>
      <w:r w:rsidRPr="00A8159A">
        <w:rPr>
          <w:b/>
          <w:sz w:val="28"/>
          <w:szCs w:val="28"/>
        </w:rPr>
        <w:t>Anexa 3.2.11</w:t>
      </w:r>
    </w:p>
    <w:p w14:paraId="2CE38D06" w14:textId="77777777" w:rsidR="00A8159A" w:rsidRPr="00A8159A" w:rsidRDefault="00A8159A" w:rsidP="0098548C">
      <w:pPr>
        <w:spacing w:after="0"/>
        <w:jc w:val="both"/>
        <w:rPr>
          <w:b/>
          <w:sz w:val="28"/>
          <w:szCs w:val="28"/>
        </w:rPr>
      </w:pPr>
    </w:p>
    <w:p w14:paraId="3AA3A322" w14:textId="309B88D2" w:rsidR="009D0A8B" w:rsidRPr="002066F5" w:rsidRDefault="009D0A8B" w:rsidP="0098548C">
      <w:pPr>
        <w:spacing w:after="0"/>
        <w:jc w:val="both"/>
        <w:rPr>
          <w:b/>
        </w:rPr>
      </w:pPr>
      <w:r w:rsidRPr="002066F5">
        <w:rPr>
          <w:b/>
        </w:rPr>
        <w:t>Pilonul V – Sănătate, Reziliență economică, socială și instituțională</w:t>
      </w:r>
    </w:p>
    <w:p w14:paraId="32B61EA0" w14:textId="3480D683" w:rsidR="000F7900" w:rsidRPr="002066F5" w:rsidRDefault="009D0A8B" w:rsidP="0098548C">
      <w:pPr>
        <w:spacing w:after="0"/>
        <w:jc w:val="both"/>
        <w:rPr>
          <w:b/>
        </w:rPr>
      </w:pPr>
      <w:r w:rsidRPr="002066F5">
        <w:rPr>
          <w:b/>
        </w:rPr>
        <w:t xml:space="preserve">COMPONENTA </w:t>
      </w:r>
      <w:r w:rsidR="004E279D">
        <w:rPr>
          <w:b/>
        </w:rPr>
        <w:t>13</w:t>
      </w:r>
      <w:r w:rsidRPr="002066F5">
        <w:rPr>
          <w:b/>
        </w:rPr>
        <w:t>:  Reform</w:t>
      </w:r>
      <w:r w:rsidR="004E279D">
        <w:rPr>
          <w:b/>
        </w:rPr>
        <w:t>a</w:t>
      </w:r>
      <w:r w:rsidRPr="002066F5">
        <w:rPr>
          <w:b/>
        </w:rPr>
        <w:t xml:space="preserve"> Social</w:t>
      </w:r>
      <w:r w:rsidR="004E279D">
        <w:rPr>
          <w:b/>
        </w:rPr>
        <w:t>a</w:t>
      </w:r>
    </w:p>
    <w:tbl>
      <w:tblPr>
        <w:tblStyle w:val="TableGrid"/>
        <w:tblW w:w="5000" w:type="pct"/>
        <w:tblLook w:val="04A0" w:firstRow="1" w:lastRow="0" w:firstColumn="1" w:lastColumn="0" w:noHBand="0" w:noVBand="1"/>
      </w:tblPr>
      <w:tblGrid>
        <w:gridCol w:w="4456"/>
        <w:gridCol w:w="4800"/>
        <w:gridCol w:w="4738"/>
      </w:tblGrid>
      <w:tr w:rsidR="002066F5" w:rsidRPr="002066F5" w14:paraId="01A807AD" w14:textId="77777777" w:rsidTr="007120A9">
        <w:trPr>
          <w:tblHeader/>
        </w:trPr>
        <w:tc>
          <w:tcPr>
            <w:tcW w:w="1592" w:type="pct"/>
            <w:shd w:val="clear" w:color="auto" w:fill="F2DBDB" w:themeFill="accent2" w:themeFillTint="33"/>
          </w:tcPr>
          <w:p w14:paraId="0FC1C0B6" w14:textId="77777777" w:rsidR="007120A9" w:rsidRPr="002066F5" w:rsidRDefault="00832BE5" w:rsidP="0098548C">
            <w:pPr>
              <w:spacing w:line="276" w:lineRule="auto"/>
              <w:jc w:val="both"/>
              <w:rPr>
                <w:b/>
              </w:rPr>
            </w:pPr>
            <w:r>
              <w:rPr>
                <w:b/>
              </w:rPr>
              <w:t>Reforme și investiții în PNRR</w:t>
            </w:r>
          </w:p>
        </w:tc>
        <w:tc>
          <w:tcPr>
            <w:tcW w:w="1715" w:type="pct"/>
            <w:shd w:val="clear" w:color="auto" w:fill="F2DBDB" w:themeFill="accent2" w:themeFillTint="33"/>
          </w:tcPr>
          <w:p w14:paraId="170ABEC4" w14:textId="77777777" w:rsidR="007120A9" w:rsidRPr="002066F5" w:rsidRDefault="007120A9" w:rsidP="0098548C">
            <w:pPr>
              <w:spacing w:line="276" w:lineRule="auto"/>
              <w:jc w:val="both"/>
              <w:rPr>
                <w:b/>
              </w:rPr>
            </w:pPr>
            <w:r w:rsidRPr="002066F5">
              <w:rPr>
                <w:b/>
              </w:rPr>
              <w:t>POEO</w:t>
            </w:r>
          </w:p>
        </w:tc>
        <w:tc>
          <w:tcPr>
            <w:tcW w:w="1693" w:type="pct"/>
            <w:shd w:val="clear" w:color="auto" w:fill="F2DBDB" w:themeFill="accent2" w:themeFillTint="33"/>
          </w:tcPr>
          <w:p w14:paraId="124524F8" w14:textId="77777777" w:rsidR="007120A9" w:rsidRPr="002066F5" w:rsidRDefault="007120A9" w:rsidP="0098548C">
            <w:pPr>
              <w:spacing w:line="276" w:lineRule="auto"/>
              <w:jc w:val="both"/>
              <w:rPr>
                <w:b/>
              </w:rPr>
            </w:pPr>
            <w:r w:rsidRPr="002066F5">
              <w:rPr>
                <w:b/>
              </w:rPr>
              <w:t>POIDS</w:t>
            </w:r>
          </w:p>
        </w:tc>
      </w:tr>
      <w:tr w:rsidR="002066F5" w:rsidRPr="002066F5" w14:paraId="70213726" w14:textId="77777777" w:rsidTr="007120A9">
        <w:tc>
          <w:tcPr>
            <w:tcW w:w="1592" w:type="pct"/>
          </w:tcPr>
          <w:p w14:paraId="263B3990" w14:textId="77777777" w:rsidR="007120A9" w:rsidRPr="002066F5" w:rsidRDefault="007120A9" w:rsidP="0098548C">
            <w:pPr>
              <w:spacing w:line="276" w:lineRule="auto"/>
              <w:jc w:val="both"/>
              <w:rPr>
                <w:b/>
              </w:rPr>
            </w:pPr>
            <w:r w:rsidRPr="002066F5">
              <w:rPr>
                <w:b/>
              </w:rPr>
              <w:t>Reforma 1 -  Crearea nou cadru legal pentru oferirea de soluții adecvate sprijinirii familiilor care trăiesc în sărăcie, cu copii în întreținere, astfel încât aceștia să poată fi menținuți în familie</w:t>
            </w:r>
          </w:p>
          <w:p w14:paraId="491C0841" w14:textId="77777777" w:rsidR="007120A9" w:rsidRPr="002066F5" w:rsidRDefault="007120A9" w:rsidP="0098548C">
            <w:pPr>
              <w:spacing w:line="276" w:lineRule="auto"/>
              <w:jc w:val="both"/>
            </w:pPr>
          </w:p>
          <w:p w14:paraId="53757AC5" w14:textId="77777777" w:rsidR="007120A9" w:rsidRPr="002066F5" w:rsidRDefault="007120A9" w:rsidP="0098548C">
            <w:pPr>
              <w:spacing w:line="276" w:lineRule="auto"/>
              <w:jc w:val="both"/>
            </w:pPr>
            <w:r w:rsidRPr="002066F5">
              <w:t>Investiția 1 - Crearea unei rețele de centre de zi pentru copiii în situații de risc</w:t>
            </w:r>
          </w:p>
          <w:p w14:paraId="5CF3AEEE" w14:textId="77777777" w:rsidR="007120A9" w:rsidRPr="002066F5" w:rsidRDefault="007120A9" w:rsidP="0098548C">
            <w:pPr>
              <w:spacing w:line="276" w:lineRule="auto"/>
              <w:jc w:val="both"/>
            </w:pPr>
          </w:p>
        </w:tc>
        <w:tc>
          <w:tcPr>
            <w:tcW w:w="1715" w:type="pct"/>
          </w:tcPr>
          <w:p w14:paraId="0B8AD8B9" w14:textId="77777777" w:rsidR="007120A9" w:rsidRPr="009D0A8B" w:rsidRDefault="007120A9" w:rsidP="0098548C">
            <w:pPr>
              <w:spacing w:line="276" w:lineRule="auto"/>
              <w:jc w:val="both"/>
              <w:rPr>
                <w:b/>
              </w:rPr>
            </w:pPr>
            <w:r w:rsidRPr="009D0A8B">
              <w:rPr>
                <w:b/>
              </w:rPr>
              <w:t>Prioritatea 2</w:t>
            </w:r>
            <w:r w:rsidRPr="002066F5">
              <w:rPr>
                <w:b/>
              </w:rPr>
              <w:t>:</w:t>
            </w:r>
            <w:r w:rsidRPr="009D0A8B">
              <w:rPr>
                <w:b/>
              </w:rPr>
              <w:t xml:space="preserve"> Îmbunătățirea participării copiilor la educația </w:t>
            </w:r>
            <w:proofErr w:type="spellStart"/>
            <w:r w:rsidRPr="009D0A8B">
              <w:rPr>
                <w:b/>
              </w:rPr>
              <w:t>antepreșcolară</w:t>
            </w:r>
            <w:proofErr w:type="spellEnd"/>
            <w:r w:rsidRPr="009D0A8B">
              <w:rPr>
                <w:b/>
              </w:rPr>
              <w:t xml:space="preserve"> și preșcolară</w:t>
            </w:r>
          </w:p>
          <w:p w14:paraId="68A8F923" w14:textId="77777777" w:rsidR="007120A9" w:rsidRPr="009D0A8B" w:rsidRDefault="007120A9" w:rsidP="0098548C">
            <w:pPr>
              <w:spacing w:line="276" w:lineRule="auto"/>
              <w:jc w:val="both"/>
              <w:rPr>
                <w:rFonts w:cstheme="minorHAnsi"/>
                <w:b/>
              </w:rPr>
            </w:pPr>
            <w:r w:rsidRPr="009D0A8B">
              <w:rPr>
                <w:rFonts w:cstheme="minorHAnsi"/>
                <w:b/>
              </w:rPr>
              <w:t xml:space="preserve">Acțiunea 2.v.2 Diversificarea și flexibilizarea serviciilor de suport </w:t>
            </w:r>
            <w:proofErr w:type="spellStart"/>
            <w:r w:rsidRPr="009D0A8B">
              <w:rPr>
                <w:rFonts w:cstheme="minorHAnsi"/>
                <w:b/>
              </w:rPr>
              <w:t>socio</w:t>
            </w:r>
            <w:proofErr w:type="spellEnd"/>
            <w:r w:rsidRPr="009D0A8B">
              <w:rPr>
                <w:rFonts w:cstheme="minorHAnsi"/>
                <w:b/>
              </w:rPr>
              <w:t xml:space="preserve">-educațional </w:t>
            </w:r>
          </w:p>
          <w:p w14:paraId="356A9BF1" w14:textId="77777777" w:rsidR="007120A9" w:rsidRPr="009D0A8B" w:rsidRDefault="007120A9" w:rsidP="0098548C">
            <w:pPr>
              <w:numPr>
                <w:ilvl w:val="0"/>
                <w:numId w:val="22"/>
              </w:numPr>
              <w:spacing w:line="276" w:lineRule="auto"/>
              <w:ind w:left="426" w:hanging="283"/>
              <w:jc w:val="both"/>
              <w:rPr>
                <w:rFonts w:cstheme="minorHAnsi"/>
              </w:rPr>
            </w:pPr>
            <w:r w:rsidRPr="009D0A8B">
              <w:rPr>
                <w:rFonts w:cstheme="minorHAnsi"/>
              </w:rPr>
              <w:t xml:space="preserve">implementare măsuri strategice la nivel local pentru asigurarea numărului de locuri pentru IETC; </w:t>
            </w:r>
          </w:p>
          <w:p w14:paraId="55ED396D" w14:textId="77777777" w:rsidR="007120A9" w:rsidRPr="009D0A8B" w:rsidRDefault="007120A9" w:rsidP="0098548C">
            <w:pPr>
              <w:numPr>
                <w:ilvl w:val="0"/>
                <w:numId w:val="22"/>
              </w:numPr>
              <w:spacing w:line="276" w:lineRule="auto"/>
              <w:ind w:left="426" w:hanging="283"/>
              <w:jc w:val="both"/>
              <w:rPr>
                <w:rFonts w:cstheme="minorHAnsi"/>
              </w:rPr>
            </w:pPr>
            <w:r w:rsidRPr="009D0A8B">
              <w:rPr>
                <w:rFonts w:cstheme="minorHAnsi"/>
              </w:rPr>
              <w:t>asigurare servicii complementare, măsuri de acompaniere, în funcție de nevoi pentru copiii care aparțin grupurilor vulnerabile;</w:t>
            </w:r>
          </w:p>
          <w:p w14:paraId="08C0F261" w14:textId="77777777" w:rsidR="007120A9" w:rsidRPr="009D0A8B" w:rsidRDefault="007120A9" w:rsidP="0098548C">
            <w:pPr>
              <w:numPr>
                <w:ilvl w:val="0"/>
                <w:numId w:val="22"/>
              </w:numPr>
              <w:spacing w:line="276" w:lineRule="auto"/>
              <w:ind w:left="426" w:hanging="283"/>
              <w:jc w:val="both"/>
              <w:rPr>
                <w:rFonts w:cstheme="minorHAnsi"/>
              </w:rPr>
            </w:pPr>
            <w:r w:rsidRPr="009D0A8B">
              <w:rPr>
                <w:rFonts w:cstheme="minorHAnsi"/>
              </w:rPr>
              <w:t xml:space="preserve">adaptare servicii la nevoile copiilor cu dizabilități/ CES, </w:t>
            </w:r>
          </w:p>
          <w:p w14:paraId="6D1F164D" w14:textId="77777777" w:rsidR="007120A9" w:rsidRPr="009D0A8B" w:rsidRDefault="007120A9" w:rsidP="0098548C">
            <w:pPr>
              <w:numPr>
                <w:ilvl w:val="0"/>
                <w:numId w:val="22"/>
              </w:numPr>
              <w:spacing w:line="276" w:lineRule="auto"/>
              <w:ind w:left="426" w:hanging="283"/>
              <w:jc w:val="both"/>
              <w:rPr>
                <w:rFonts w:cstheme="minorHAnsi"/>
              </w:rPr>
            </w:pPr>
            <w:r w:rsidRPr="009D0A8B">
              <w:rPr>
                <w:rFonts w:cstheme="minorHAnsi"/>
              </w:rPr>
              <w:t>informare, consiliere, educație parentală</w:t>
            </w:r>
          </w:p>
          <w:p w14:paraId="5CA78879" w14:textId="77777777" w:rsidR="007120A9" w:rsidRPr="002066F5" w:rsidRDefault="007120A9" w:rsidP="0098548C">
            <w:pPr>
              <w:spacing w:line="276" w:lineRule="auto"/>
              <w:jc w:val="both"/>
              <w:rPr>
                <w:b/>
              </w:rPr>
            </w:pPr>
            <w:r w:rsidRPr="002066F5">
              <w:rPr>
                <w:b/>
              </w:rPr>
              <w:t>Prioritatea 3: Prevenirea părăsirii timpurii a școlii și creșterea accesului și a participării grupurilor dezavantajate la educație și formare profesională</w:t>
            </w:r>
          </w:p>
          <w:p w14:paraId="222B7794" w14:textId="77777777" w:rsidR="007120A9" w:rsidRPr="002066F5" w:rsidRDefault="007120A9" w:rsidP="0098548C">
            <w:pPr>
              <w:spacing w:line="276" w:lineRule="auto"/>
              <w:jc w:val="both"/>
              <w:rPr>
                <w:b/>
              </w:rPr>
            </w:pPr>
            <w:r w:rsidRPr="002066F5">
              <w:rPr>
                <w:b/>
              </w:rPr>
              <w:t>Acțiunea 3.v.1. Operațiuni orizontale (intervenții integrate la nivel de școală / comunitate)</w:t>
            </w:r>
          </w:p>
          <w:p w14:paraId="789738A3" w14:textId="77777777" w:rsidR="007120A9" w:rsidRPr="002066F5" w:rsidRDefault="007120A9" w:rsidP="00890A96">
            <w:pPr>
              <w:numPr>
                <w:ilvl w:val="0"/>
                <w:numId w:val="22"/>
              </w:numPr>
              <w:ind w:left="426" w:hanging="283"/>
              <w:jc w:val="both"/>
              <w:rPr>
                <w:rFonts w:cstheme="minorHAnsi"/>
              </w:rPr>
            </w:pPr>
            <w:r w:rsidRPr="002066F5">
              <w:rPr>
                <w:rFonts w:cstheme="minorHAnsi"/>
              </w:rPr>
              <w:t xml:space="preserve">facilitarea transportului elevilor către/ de la unitățile școlare, prin măsuri adaptate fiecărei comunități </w:t>
            </w:r>
          </w:p>
          <w:p w14:paraId="5C64B72E" w14:textId="77777777" w:rsidR="007120A9" w:rsidRPr="002066F5" w:rsidRDefault="007120A9" w:rsidP="00890A96">
            <w:pPr>
              <w:numPr>
                <w:ilvl w:val="0"/>
                <w:numId w:val="22"/>
              </w:numPr>
              <w:ind w:left="426" w:hanging="283"/>
              <w:jc w:val="both"/>
              <w:rPr>
                <w:rFonts w:cstheme="minorHAnsi"/>
              </w:rPr>
            </w:pPr>
            <w:r w:rsidRPr="002066F5">
              <w:rPr>
                <w:rFonts w:cstheme="minorHAnsi"/>
              </w:rPr>
              <w:t>îmbunătățirea accesului și a participării la educație a copiilor cu dizabilități și/sau cerințe educaționale speciale (CES)</w:t>
            </w:r>
          </w:p>
          <w:p w14:paraId="1ED44431" w14:textId="77777777" w:rsidR="007120A9" w:rsidRPr="002066F5" w:rsidRDefault="007120A9" w:rsidP="00890A96">
            <w:pPr>
              <w:numPr>
                <w:ilvl w:val="0"/>
                <w:numId w:val="22"/>
              </w:numPr>
              <w:ind w:left="426" w:hanging="283"/>
              <w:jc w:val="both"/>
              <w:rPr>
                <w:rFonts w:cstheme="minorHAnsi"/>
              </w:rPr>
            </w:pPr>
            <w:r w:rsidRPr="002066F5">
              <w:rPr>
                <w:rFonts w:cstheme="minorHAnsi"/>
              </w:rPr>
              <w:t xml:space="preserve">programe de informare și conștientizare privind participarea la educație,  consiliere și </w:t>
            </w:r>
            <w:r w:rsidRPr="002066F5">
              <w:rPr>
                <w:rFonts w:cstheme="minorHAnsi"/>
              </w:rPr>
              <w:lastRenderedPageBreak/>
              <w:t>educație parentală, cu accent pe grupurile vulnerabile</w:t>
            </w:r>
          </w:p>
          <w:p w14:paraId="5048D588" w14:textId="77777777" w:rsidR="007120A9" w:rsidRPr="00832BE5" w:rsidRDefault="007120A9" w:rsidP="0098548C">
            <w:pPr>
              <w:spacing w:line="276" w:lineRule="auto"/>
              <w:jc w:val="both"/>
            </w:pPr>
            <w:r w:rsidRPr="00832BE5">
              <w:t>Acțiunea 3.v.2. Intervenții pentru învățământul primar și secundar (gimnazial și liceal)</w:t>
            </w:r>
          </w:p>
          <w:p w14:paraId="1534920F" w14:textId="77777777" w:rsidR="007120A9" w:rsidRPr="002066F5" w:rsidRDefault="007120A9" w:rsidP="00B86681">
            <w:pPr>
              <w:numPr>
                <w:ilvl w:val="0"/>
                <w:numId w:val="22"/>
              </w:numPr>
              <w:spacing w:before="60"/>
              <w:ind w:left="426" w:hanging="284"/>
              <w:jc w:val="both"/>
            </w:pPr>
            <w:r w:rsidRPr="002066F5">
              <w:t>Dezvoltarea/extinderea și creșterea calității programului „școală după școală” (SDS), complementar cu programul „masă caldă”;</w:t>
            </w:r>
          </w:p>
          <w:p w14:paraId="1CD40026" w14:textId="77777777" w:rsidR="007120A9" w:rsidRPr="002066F5" w:rsidRDefault="007120A9" w:rsidP="00B86681">
            <w:pPr>
              <w:numPr>
                <w:ilvl w:val="0"/>
                <w:numId w:val="22"/>
              </w:numPr>
              <w:spacing w:before="60"/>
              <w:ind w:left="426" w:hanging="284"/>
              <w:jc w:val="both"/>
            </w:pPr>
            <w:r w:rsidRPr="002066F5">
              <w:t>Dezvoltarea și extinderea Programului „A doua șansă” (ADS), pentru facilitarea finalizării învățământului obligatoriu, de către persoanele care au părăsit timpuriu școala</w:t>
            </w:r>
          </w:p>
          <w:p w14:paraId="0C167C36" w14:textId="77777777" w:rsidR="007120A9" w:rsidRPr="002066F5" w:rsidRDefault="007120A9" w:rsidP="00B86681">
            <w:pPr>
              <w:numPr>
                <w:ilvl w:val="0"/>
                <w:numId w:val="22"/>
              </w:numPr>
              <w:spacing w:before="60"/>
              <w:ind w:left="426" w:hanging="284"/>
              <w:jc w:val="both"/>
            </w:pPr>
            <w:r w:rsidRPr="002066F5">
              <w:t>Măsuri de sprijin pentru revenirea în sistemul de învățământ, pentru finalizarea învățământului obligatoriu, precum și pentru continuarea studiilor la un nivel superior de educație, în special pentru elevii aparținând grupurilor vulnerabile, inclusiv romi;</w:t>
            </w:r>
          </w:p>
        </w:tc>
        <w:tc>
          <w:tcPr>
            <w:tcW w:w="1693" w:type="pct"/>
          </w:tcPr>
          <w:p w14:paraId="55A7E541" w14:textId="77777777" w:rsidR="007120A9" w:rsidRPr="00581DE4" w:rsidRDefault="007120A9" w:rsidP="0098548C">
            <w:pPr>
              <w:spacing w:line="276" w:lineRule="auto"/>
              <w:jc w:val="both"/>
              <w:rPr>
                <w:b/>
                <w:bCs/>
                <w:iCs/>
              </w:rPr>
            </w:pPr>
            <w:r w:rsidRPr="00581DE4">
              <w:rPr>
                <w:b/>
                <w:bCs/>
                <w:iCs/>
              </w:rPr>
              <w:lastRenderedPageBreak/>
              <w:t>Prioritatea 4: Reducerea disparităților dintre copiii la risc de sărăcie și/sau excluziune socială și ceilalți copii</w:t>
            </w:r>
          </w:p>
          <w:p w14:paraId="2512CCF3" w14:textId="77777777" w:rsidR="007120A9" w:rsidRPr="002066F5" w:rsidRDefault="007120A9" w:rsidP="00B86681">
            <w:pPr>
              <w:spacing w:before="60" w:line="276" w:lineRule="auto"/>
              <w:jc w:val="both"/>
              <w:rPr>
                <w:bCs/>
                <w:iCs/>
              </w:rPr>
            </w:pPr>
            <w:r w:rsidRPr="00581DE4">
              <w:rPr>
                <w:b/>
                <w:bCs/>
                <w:iCs/>
              </w:rPr>
              <w:t xml:space="preserve">Acțiunea 4.1 </w:t>
            </w:r>
            <w:r w:rsidRPr="002066F5">
              <w:rPr>
                <w:b/>
                <w:bCs/>
                <w:iCs/>
              </w:rPr>
              <w:t xml:space="preserve">FSE </w:t>
            </w:r>
            <w:r w:rsidRPr="00581DE4">
              <w:rPr>
                <w:b/>
                <w:bCs/>
                <w:iCs/>
              </w:rPr>
              <w:t>Furnizarea de servicii pentru copii și adolescenți cu comportament agresiv</w:t>
            </w:r>
            <w:r w:rsidRPr="00581DE4">
              <w:rPr>
                <w:bCs/>
                <w:iCs/>
              </w:rPr>
              <w:t xml:space="preserve"> (violență, agresiune etc.)</w:t>
            </w:r>
          </w:p>
          <w:p w14:paraId="5D4D540D" w14:textId="77777777" w:rsidR="007120A9" w:rsidRPr="00581DE4" w:rsidRDefault="007120A9" w:rsidP="00B86681">
            <w:pPr>
              <w:spacing w:before="60" w:line="276" w:lineRule="auto"/>
              <w:jc w:val="both"/>
              <w:rPr>
                <w:bCs/>
                <w:iCs/>
              </w:rPr>
            </w:pPr>
            <w:r w:rsidRPr="00581DE4">
              <w:rPr>
                <w:bCs/>
                <w:iCs/>
              </w:rPr>
              <w:t xml:space="preserve">Acțiunea 4.1 </w:t>
            </w:r>
            <w:r w:rsidRPr="002066F5">
              <w:rPr>
                <w:bCs/>
                <w:iCs/>
              </w:rPr>
              <w:t xml:space="preserve">FEDR </w:t>
            </w:r>
            <w:r w:rsidRPr="00581DE4">
              <w:rPr>
                <w:bCs/>
                <w:iCs/>
              </w:rPr>
              <w:t>Construirea / reabilitarea și echiparea a 3 centre pilot de zi pentru copii și adolescenți cu comportament agresiv (violență, agresiune etc.)</w:t>
            </w:r>
          </w:p>
          <w:p w14:paraId="7A9E6563" w14:textId="77777777" w:rsidR="007120A9" w:rsidRPr="00581DE4" w:rsidRDefault="007120A9" w:rsidP="00B86681">
            <w:pPr>
              <w:spacing w:before="60" w:line="276" w:lineRule="auto"/>
              <w:jc w:val="both"/>
              <w:rPr>
                <w:bCs/>
                <w:iCs/>
              </w:rPr>
            </w:pPr>
            <w:r w:rsidRPr="00581DE4">
              <w:rPr>
                <w:bCs/>
                <w:iCs/>
              </w:rPr>
              <w:t>Acțiunea 4.2 Facilitarea accesului copiilor săraci la tabere creative / sportive</w:t>
            </w:r>
          </w:p>
          <w:p w14:paraId="29A49209" w14:textId="79C1BABB" w:rsidR="007120A9" w:rsidRPr="00581DE4" w:rsidRDefault="007120A9" w:rsidP="00B86681">
            <w:pPr>
              <w:spacing w:before="60" w:line="276" w:lineRule="auto"/>
              <w:jc w:val="both"/>
              <w:rPr>
                <w:bCs/>
                <w:iCs/>
              </w:rPr>
            </w:pPr>
            <w:r w:rsidRPr="00581DE4">
              <w:rPr>
                <w:bCs/>
                <w:iCs/>
              </w:rPr>
              <w:t>Acțiunea 4.3 Sprijin pentru tineri în procesul de dezinstituționalizare</w:t>
            </w:r>
            <w:r w:rsidRPr="00581DE4">
              <w:t xml:space="preserve"> </w:t>
            </w:r>
            <w:r w:rsidRPr="00581DE4">
              <w:rPr>
                <w:bCs/>
                <w:iCs/>
              </w:rPr>
              <w:t xml:space="preserve">prin furnizarea de servicii integrate: consiliere, orientare </w:t>
            </w:r>
            <w:r w:rsidR="00F72196">
              <w:rPr>
                <w:bCs/>
                <w:iCs/>
              </w:rPr>
              <w:t>î</w:t>
            </w:r>
            <w:r w:rsidRPr="00581DE4">
              <w:rPr>
                <w:bCs/>
                <w:iCs/>
              </w:rPr>
              <w:t>n carier</w:t>
            </w:r>
            <w:r w:rsidR="00F72196">
              <w:rPr>
                <w:bCs/>
                <w:iCs/>
              </w:rPr>
              <w:t>ă</w:t>
            </w:r>
            <w:r w:rsidRPr="00581DE4">
              <w:rPr>
                <w:bCs/>
                <w:iCs/>
              </w:rPr>
              <w:t>, dezvoltare personal</w:t>
            </w:r>
            <w:r w:rsidR="00F72196">
              <w:rPr>
                <w:bCs/>
                <w:iCs/>
              </w:rPr>
              <w:t>ă</w:t>
            </w:r>
            <w:r w:rsidRPr="00581DE4">
              <w:rPr>
                <w:bCs/>
                <w:iCs/>
              </w:rPr>
              <w:t xml:space="preserve"> </w:t>
            </w:r>
            <w:r w:rsidR="00F72196">
              <w:rPr>
                <w:bCs/>
                <w:iCs/>
              </w:rPr>
              <w:t>ș</w:t>
            </w:r>
            <w:r w:rsidRPr="00581DE4">
              <w:rPr>
                <w:bCs/>
                <w:iCs/>
              </w:rPr>
              <w:t>i dezvoltarea de abilități de viaț</w:t>
            </w:r>
            <w:r w:rsidR="00F72196">
              <w:rPr>
                <w:bCs/>
                <w:iCs/>
              </w:rPr>
              <w:t>ă</w:t>
            </w:r>
            <w:r w:rsidRPr="00581DE4">
              <w:rPr>
                <w:bCs/>
                <w:iCs/>
              </w:rPr>
              <w:t xml:space="preserve"> independentă, monitorizare post-</w:t>
            </w:r>
            <w:proofErr w:type="spellStart"/>
            <w:r w:rsidRPr="00581DE4">
              <w:rPr>
                <w:bCs/>
                <w:iCs/>
              </w:rPr>
              <w:t>interventie</w:t>
            </w:r>
            <w:proofErr w:type="spellEnd"/>
            <w:r w:rsidRPr="00581DE4">
              <w:rPr>
                <w:bCs/>
                <w:iCs/>
              </w:rPr>
              <w:t xml:space="preserve"> </w:t>
            </w:r>
            <w:r w:rsidR="00F72196">
              <w:rPr>
                <w:bCs/>
                <w:iCs/>
              </w:rPr>
              <w:t>î</w:t>
            </w:r>
            <w:r w:rsidRPr="00581DE4">
              <w:rPr>
                <w:bCs/>
                <w:iCs/>
              </w:rPr>
              <w:t>n vederea asigurării sustenabilității măsurilor, asigurarea locuinței gratuite prin acordarea unui voucher pentru plata chiriei timp de 12 luni</w:t>
            </w:r>
          </w:p>
          <w:p w14:paraId="29831B8B" w14:textId="77777777" w:rsidR="007120A9" w:rsidRPr="007D6F9F" w:rsidRDefault="007120A9" w:rsidP="00B86681">
            <w:pPr>
              <w:spacing w:before="60" w:line="276" w:lineRule="auto"/>
              <w:jc w:val="both"/>
              <w:rPr>
                <w:bCs/>
                <w:iCs/>
              </w:rPr>
            </w:pPr>
            <w:r w:rsidRPr="007D6F9F">
              <w:rPr>
                <w:bCs/>
                <w:iCs/>
              </w:rPr>
              <w:t>Acțiunea 4.4 FSE Dezvoltarea serviciilor în centrele de zi pentru prevenirea separării copilului de familie, prin</w:t>
            </w:r>
            <w:r w:rsidRPr="007D6F9F">
              <w:t xml:space="preserve"> </w:t>
            </w:r>
            <w:r w:rsidRPr="007D6F9F">
              <w:rPr>
                <w:bCs/>
                <w:iCs/>
              </w:rPr>
              <w:t xml:space="preserve">servicii de asistență și îngrijire copiilor, pe durata zilei, dar și informare, consiliere, îndrumare și, după caz, ajutor material pentru </w:t>
            </w:r>
            <w:r w:rsidRPr="007D6F9F">
              <w:rPr>
                <w:bCs/>
                <w:iCs/>
              </w:rPr>
              <w:lastRenderedPageBreak/>
              <w:t xml:space="preserve">familii, dar si pentru persoanele în grija cărora se află copiii cu părinți plecați în străinătate.  </w:t>
            </w:r>
          </w:p>
          <w:p w14:paraId="25C466C9" w14:textId="77777777" w:rsidR="007120A9" w:rsidRPr="007D6F9F" w:rsidRDefault="007120A9" w:rsidP="00B86681">
            <w:pPr>
              <w:spacing w:before="60" w:line="276" w:lineRule="auto"/>
              <w:jc w:val="both"/>
              <w:rPr>
                <w:bCs/>
                <w:iCs/>
              </w:rPr>
            </w:pPr>
            <w:r w:rsidRPr="007D6F9F">
              <w:rPr>
                <w:bCs/>
                <w:iCs/>
              </w:rPr>
              <w:t>Acțiunea 4.4 FEDR Dezvoltarea infrastructurii în centrele de zi pentru prevenirea separării copilului de familie</w:t>
            </w:r>
          </w:p>
          <w:p w14:paraId="7AA7E4D6" w14:textId="77777777" w:rsidR="007120A9" w:rsidRPr="007D6F9F" w:rsidRDefault="007120A9" w:rsidP="00B86681">
            <w:pPr>
              <w:spacing w:before="60" w:line="276" w:lineRule="auto"/>
              <w:jc w:val="both"/>
              <w:rPr>
                <w:bCs/>
                <w:iCs/>
              </w:rPr>
            </w:pPr>
            <w:r w:rsidRPr="007D6F9F">
              <w:rPr>
                <w:bCs/>
                <w:iCs/>
              </w:rPr>
              <w:t>Acțiunea 4.6 Instruire (învățarea continuă) pentru specialiștii care lucrează cu copii și tineri</w:t>
            </w:r>
          </w:p>
          <w:p w14:paraId="1602F24F" w14:textId="5C7BDFCE" w:rsidR="007120A9" w:rsidRPr="007D6F9F" w:rsidRDefault="007120A9" w:rsidP="00B86681">
            <w:pPr>
              <w:spacing w:before="60" w:line="276" w:lineRule="auto"/>
              <w:jc w:val="both"/>
              <w:rPr>
                <w:b/>
                <w:bCs/>
                <w:iCs/>
              </w:rPr>
            </w:pPr>
            <w:r w:rsidRPr="007D6F9F">
              <w:rPr>
                <w:b/>
                <w:bCs/>
                <w:iCs/>
                <w:lang w:val="vi-VN"/>
              </w:rPr>
              <w:t>Prioritatea 6</w:t>
            </w:r>
            <w:r w:rsidRPr="007D6F9F">
              <w:rPr>
                <w:b/>
                <w:bCs/>
                <w:iCs/>
              </w:rPr>
              <w:t xml:space="preserve"> -</w:t>
            </w:r>
            <w:r w:rsidRPr="007D6F9F">
              <w:rPr>
                <w:b/>
                <w:bCs/>
                <w:iCs/>
                <w:lang w:val="vi-VN"/>
              </w:rPr>
              <w:t xml:space="preserve">  Sprijin pentru persoanele cu dizabilit</w:t>
            </w:r>
            <w:proofErr w:type="spellStart"/>
            <w:r w:rsidR="00F72196">
              <w:rPr>
                <w:b/>
                <w:bCs/>
                <w:iCs/>
              </w:rPr>
              <w:t>ăț</w:t>
            </w:r>
            <w:proofErr w:type="spellEnd"/>
            <w:r w:rsidRPr="007D6F9F">
              <w:rPr>
                <w:b/>
                <w:bCs/>
                <w:iCs/>
                <w:lang w:val="vi-VN"/>
              </w:rPr>
              <w:t xml:space="preserve">i </w:t>
            </w:r>
          </w:p>
          <w:p w14:paraId="0A169140" w14:textId="77777777" w:rsidR="007120A9" w:rsidRPr="00581DE4" w:rsidRDefault="007120A9" w:rsidP="0098548C">
            <w:pPr>
              <w:spacing w:line="276" w:lineRule="auto"/>
              <w:jc w:val="both"/>
              <w:rPr>
                <w:bCs/>
                <w:iCs/>
              </w:rPr>
            </w:pPr>
            <w:r w:rsidRPr="007D6F9F">
              <w:rPr>
                <w:bCs/>
                <w:iCs/>
              </w:rPr>
              <w:t>Acțiunea 6.3 Dezvoltarea serviciilor de îngrijire de zi pentru copiii cu dizabilități</w:t>
            </w:r>
          </w:p>
          <w:p w14:paraId="1ECF01D8" w14:textId="77777777" w:rsidR="007120A9" w:rsidRPr="00581DE4" w:rsidRDefault="007120A9" w:rsidP="0098548C">
            <w:pPr>
              <w:spacing w:line="276" w:lineRule="auto"/>
              <w:jc w:val="both"/>
              <w:rPr>
                <w:bCs/>
                <w:iCs/>
              </w:rPr>
            </w:pPr>
          </w:p>
          <w:p w14:paraId="06867AC9" w14:textId="77777777" w:rsidR="007120A9" w:rsidRPr="002066F5" w:rsidRDefault="007120A9" w:rsidP="0098548C">
            <w:pPr>
              <w:spacing w:line="276" w:lineRule="auto"/>
              <w:jc w:val="both"/>
              <w:rPr>
                <w:rFonts w:cstheme="majorHAnsi"/>
                <w:b/>
              </w:rPr>
            </w:pPr>
          </w:p>
        </w:tc>
      </w:tr>
      <w:tr w:rsidR="002066F5" w:rsidRPr="002066F5" w14:paraId="192A1828" w14:textId="77777777" w:rsidTr="007120A9">
        <w:tc>
          <w:tcPr>
            <w:tcW w:w="5000" w:type="pct"/>
            <w:gridSpan w:val="3"/>
          </w:tcPr>
          <w:p w14:paraId="454DAD9B" w14:textId="1D1CD34D" w:rsidR="006D4E84" w:rsidRPr="006446F1" w:rsidRDefault="00623D32" w:rsidP="006D4E84">
            <w:pPr>
              <w:jc w:val="both"/>
              <w:rPr>
                <w:bCs/>
                <w:iCs/>
                <w:color w:val="FF0000"/>
              </w:rPr>
            </w:pPr>
            <w:r w:rsidRPr="006446F1">
              <w:rPr>
                <w:bCs/>
                <w:iCs/>
                <w:color w:val="FF0000"/>
              </w:rPr>
              <w:lastRenderedPageBreak/>
              <w:t>M</w:t>
            </w:r>
            <w:r w:rsidR="007120A9" w:rsidRPr="006446F1">
              <w:rPr>
                <w:bCs/>
                <w:iCs/>
                <w:color w:val="FF0000"/>
              </w:rPr>
              <w:t xml:space="preserve">ăsurile de acompaniament </w:t>
            </w:r>
            <w:r w:rsidRPr="006446F1">
              <w:rPr>
                <w:bCs/>
                <w:iCs/>
                <w:color w:val="FF0000"/>
              </w:rPr>
              <w:t xml:space="preserve">din POEO </w:t>
            </w:r>
            <w:r w:rsidR="007120A9" w:rsidRPr="006446F1">
              <w:rPr>
                <w:bCs/>
                <w:iCs/>
                <w:color w:val="FF0000"/>
              </w:rPr>
              <w:t xml:space="preserve">care vizează </w:t>
            </w:r>
            <w:r w:rsidRPr="006446F1">
              <w:rPr>
                <w:bCs/>
                <w:iCs/>
                <w:color w:val="FF0000"/>
              </w:rPr>
              <w:t xml:space="preserve">participarea la educația timpurie și </w:t>
            </w:r>
            <w:r w:rsidR="007120A9" w:rsidRPr="006446F1">
              <w:rPr>
                <w:bCs/>
                <w:iCs/>
                <w:color w:val="FF0000"/>
              </w:rPr>
              <w:t xml:space="preserve">reducerea părăsirii timpurii a școlii </w:t>
            </w:r>
            <w:r w:rsidRPr="006446F1">
              <w:rPr>
                <w:bCs/>
                <w:iCs/>
                <w:color w:val="FF0000"/>
              </w:rPr>
              <w:t>contribuie totodată la menținer</w:t>
            </w:r>
            <w:r w:rsidR="006D4E84" w:rsidRPr="006446F1">
              <w:rPr>
                <w:bCs/>
                <w:iCs/>
                <w:color w:val="FF0000"/>
              </w:rPr>
              <w:t xml:space="preserve">ea copiilor în familie. De asemenea, complementar cu cadrul legislativ în domeniul prevenirii separării copilului de familie și </w:t>
            </w:r>
            <w:proofErr w:type="spellStart"/>
            <w:r w:rsidR="006D4E84" w:rsidRPr="006446F1">
              <w:rPr>
                <w:bCs/>
                <w:iCs/>
                <w:color w:val="FF0000"/>
              </w:rPr>
              <w:t>reteaua</w:t>
            </w:r>
            <w:proofErr w:type="spellEnd"/>
            <w:r w:rsidR="006D4E84" w:rsidRPr="006446F1">
              <w:rPr>
                <w:bCs/>
                <w:iCs/>
                <w:color w:val="FF0000"/>
              </w:rPr>
              <w:t xml:space="preserve"> centre de zi pentru copiii în situații de risc realizate prin PNRR, POIDS, prin intervențiile Priorității 4 - </w:t>
            </w:r>
            <w:r w:rsidR="006D4E84" w:rsidRPr="006446F1">
              <w:rPr>
                <w:bCs/>
                <w:i/>
                <w:iCs/>
                <w:color w:val="FF0000"/>
              </w:rPr>
              <w:t>Reducerea disparităților dintre copiii la risc de sărăcie și/sau excluziune socială și ceilalți copii</w:t>
            </w:r>
            <w:r w:rsidR="006D4E84" w:rsidRPr="006446F1">
              <w:rPr>
                <w:bCs/>
                <w:iCs/>
                <w:color w:val="FF0000"/>
              </w:rPr>
              <w:t xml:space="preserve"> va asigura infrastructuri și servicii în centre de zi pentru copii și adolescenți cu comportament agresiv (violență, agresiune etc.), furnizarea de servicii integrate în vederea dezinstituționalizării: consiliere, orientare </w:t>
            </w:r>
            <w:r w:rsidR="00E4467A">
              <w:rPr>
                <w:bCs/>
                <w:iCs/>
                <w:color w:val="FF0000"/>
              </w:rPr>
              <w:t>î</w:t>
            </w:r>
            <w:r w:rsidR="006D4E84" w:rsidRPr="006446F1">
              <w:rPr>
                <w:bCs/>
                <w:iCs/>
                <w:color w:val="FF0000"/>
              </w:rPr>
              <w:t>n carier</w:t>
            </w:r>
            <w:r w:rsidR="00E4467A">
              <w:rPr>
                <w:bCs/>
                <w:iCs/>
                <w:color w:val="FF0000"/>
              </w:rPr>
              <w:t>ă</w:t>
            </w:r>
            <w:r w:rsidR="006D4E84" w:rsidRPr="006446F1">
              <w:rPr>
                <w:bCs/>
                <w:iCs/>
                <w:color w:val="FF0000"/>
              </w:rPr>
              <w:t>, dezvoltare personal</w:t>
            </w:r>
            <w:r w:rsidR="00E4467A">
              <w:rPr>
                <w:bCs/>
                <w:iCs/>
                <w:color w:val="FF0000"/>
              </w:rPr>
              <w:t>ă</w:t>
            </w:r>
            <w:r w:rsidR="006D4E84" w:rsidRPr="006446F1">
              <w:rPr>
                <w:bCs/>
                <w:iCs/>
                <w:color w:val="FF0000"/>
              </w:rPr>
              <w:t xml:space="preserve"> </w:t>
            </w:r>
            <w:r w:rsidR="00E4467A">
              <w:rPr>
                <w:bCs/>
                <w:iCs/>
                <w:color w:val="FF0000"/>
              </w:rPr>
              <w:t>ș</w:t>
            </w:r>
            <w:r w:rsidR="006D4E84" w:rsidRPr="006446F1">
              <w:rPr>
                <w:bCs/>
                <w:iCs/>
                <w:color w:val="FF0000"/>
              </w:rPr>
              <w:t>i dezvoltarea de abilități de viaț</w:t>
            </w:r>
            <w:r w:rsidR="00E4467A">
              <w:rPr>
                <w:bCs/>
                <w:iCs/>
                <w:color w:val="FF0000"/>
              </w:rPr>
              <w:t>ă</w:t>
            </w:r>
            <w:r w:rsidR="006D4E84" w:rsidRPr="006446F1">
              <w:rPr>
                <w:bCs/>
                <w:iCs/>
                <w:color w:val="FF0000"/>
              </w:rPr>
              <w:t xml:space="preserve"> independentă, precum și Instruire (învățarea continuă) pentru specialiștii care lucrează cu copii și tineri. </w:t>
            </w:r>
          </w:p>
          <w:p w14:paraId="5009F670" w14:textId="77777777" w:rsidR="007120A9" w:rsidRDefault="006D4E84" w:rsidP="006D4E84">
            <w:pPr>
              <w:jc w:val="both"/>
              <w:rPr>
                <w:bCs/>
                <w:iCs/>
                <w:color w:val="FF0000"/>
              </w:rPr>
            </w:pPr>
            <w:r w:rsidRPr="006446F1">
              <w:rPr>
                <w:bCs/>
                <w:iCs/>
                <w:color w:val="FF0000"/>
              </w:rPr>
              <w:t>De asemenea POIDS va facilita accesul copiilor săraci la tabere creative / sportive.</w:t>
            </w:r>
          </w:p>
          <w:p w14:paraId="29400C71" w14:textId="1A27D1F1" w:rsidR="006D4E84" w:rsidRPr="002066F5" w:rsidRDefault="00F72196" w:rsidP="007D6F9F">
            <w:pPr>
              <w:jc w:val="both"/>
              <w:rPr>
                <w:b/>
                <w:bCs/>
                <w:iCs/>
              </w:rPr>
            </w:pPr>
            <w:r>
              <w:rPr>
                <w:bCs/>
                <w:iCs/>
                <w:color w:val="FF0000"/>
              </w:rPr>
              <w:t>Î</w:t>
            </w:r>
            <w:r w:rsidR="007D6F9F" w:rsidRPr="007D6F9F">
              <w:rPr>
                <w:bCs/>
                <w:iCs/>
                <w:color w:val="FF0000"/>
              </w:rPr>
              <w:t>n ceea ce privește dezvoltarea infrastructurii în centrele de zi pentru prevenirea separării copilului de familie, se va finanța din PNRR – POIDS</w:t>
            </w:r>
            <w:r w:rsidR="007D6F9F">
              <w:rPr>
                <w:bCs/>
                <w:iCs/>
                <w:color w:val="FF0000"/>
              </w:rPr>
              <w:t xml:space="preserve">, departajarea realizându-se </w:t>
            </w:r>
            <w:r>
              <w:rPr>
                <w:bCs/>
                <w:iCs/>
                <w:color w:val="FF0000"/>
              </w:rPr>
              <w:t>î</w:t>
            </w:r>
            <w:r w:rsidR="007D6F9F">
              <w:rPr>
                <w:bCs/>
                <w:iCs/>
                <w:color w:val="FF0000"/>
              </w:rPr>
              <w:t>n implementare.</w:t>
            </w:r>
          </w:p>
        </w:tc>
      </w:tr>
      <w:tr w:rsidR="002066F5" w:rsidRPr="002066F5" w14:paraId="5329DED5" w14:textId="77777777" w:rsidTr="007120A9">
        <w:tc>
          <w:tcPr>
            <w:tcW w:w="1592" w:type="pct"/>
          </w:tcPr>
          <w:p w14:paraId="7EED667B" w14:textId="77777777" w:rsidR="007120A9" w:rsidRPr="002066F5" w:rsidRDefault="007120A9" w:rsidP="0098548C">
            <w:pPr>
              <w:spacing w:line="276" w:lineRule="auto"/>
              <w:jc w:val="both"/>
            </w:pPr>
          </w:p>
          <w:p w14:paraId="74818679" w14:textId="77777777" w:rsidR="007120A9" w:rsidRPr="002066F5" w:rsidRDefault="007120A9" w:rsidP="0098548C">
            <w:pPr>
              <w:spacing w:line="276" w:lineRule="auto"/>
              <w:jc w:val="both"/>
            </w:pPr>
            <w:r w:rsidRPr="002066F5">
              <w:t>Reforma 2 - Reforma sistemului de protecție a persoanelor adulte cu dizabilități: îmbunătățirea calității vieții prin accelerarea procesului de dezinstituționalizare și intensificarea acțiunilor pentru creșterea rezilienței sociale în comunitate</w:t>
            </w:r>
          </w:p>
          <w:p w14:paraId="2810D1A9" w14:textId="77777777" w:rsidR="007120A9" w:rsidRPr="002066F5" w:rsidRDefault="007120A9" w:rsidP="0098548C">
            <w:pPr>
              <w:spacing w:line="276" w:lineRule="auto"/>
              <w:jc w:val="both"/>
            </w:pPr>
          </w:p>
          <w:p w14:paraId="2848040E" w14:textId="61552152" w:rsidR="007120A9" w:rsidRPr="002066F5" w:rsidRDefault="007120A9" w:rsidP="0098548C">
            <w:pPr>
              <w:spacing w:line="276" w:lineRule="auto"/>
              <w:jc w:val="both"/>
            </w:pPr>
            <w:r w:rsidRPr="002066F5">
              <w:t>Investiția 2 - Modernizarea și crearea de infrastructură social</w:t>
            </w:r>
            <w:r w:rsidR="00F72196">
              <w:t>ă</w:t>
            </w:r>
            <w:r w:rsidRPr="002066F5">
              <w:t xml:space="preserve"> pentru persoanele cu dizabilități </w:t>
            </w:r>
          </w:p>
          <w:p w14:paraId="6DD067BF" w14:textId="77777777" w:rsidR="007120A9" w:rsidRPr="002066F5" w:rsidRDefault="007120A9" w:rsidP="0098548C">
            <w:pPr>
              <w:spacing w:line="276" w:lineRule="auto"/>
              <w:jc w:val="both"/>
              <w:rPr>
                <w:b/>
                <w:i/>
              </w:rPr>
            </w:pPr>
          </w:p>
        </w:tc>
        <w:tc>
          <w:tcPr>
            <w:tcW w:w="1715" w:type="pct"/>
          </w:tcPr>
          <w:p w14:paraId="6F290258" w14:textId="77777777" w:rsidR="007120A9" w:rsidRPr="002066F5" w:rsidRDefault="007120A9" w:rsidP="0098548C">
            <w:pPr>
              <w:spacing w:line="276" w:lineRule="auto"/>
              <w:jc w:val="both"/>
              <w:rPr>
                <w:rFonts w:eastAsia="Times New Roman"/>
                <w:b/>
                <w:noProof/>
              </w:rPr>
            </w:pPr>
          </w:p>
        </w:tc>
        <w:tc>
          <w:tcPr>
            <w:tcW w:w="1693" w:type="pct"/>
          </w:tcPr>
          <w:p w14:paraId="134BE2D5" w14:textId="77777777" w:rsidR="007120A9" w:rsidRPr="00581DE4" w:rsidRDefault="007120A9" w:rsidP="0098548C">
            <w:pPr>
              <w:spacing w:line="276" w:lineRule="auto"/>
              <w:jc w:val="both"/>
              <w:rPr>
                <w:b/>
                <w:bCs/>
                <w:iCs/>
              </w:rPr>
            </w:pPr>
            <w:r w:rsidRPr="00581DE4">
              <w:rPr>
                <w:b/>
                <w:bCs/>
                <w:iCs/>
                <w:lang w:val="vi-VN"/>
              </w:rPr>
              <w:t>Prioritatea 6</w:t>
            </w:r>
            <w:r w:rsidRPr="00581DE4">
              <w:rPr>
                <w:b/>
                <w:bCs/>
                <w:iCs/>
              </w:rPr>
              <w:t xml:space="preserve"> -</w:t>
            </w:r>
            <w:r w:rsidRPr="00581DE4">
              <w:rPr>
                <w:b/>
                <w:bCs/>
                <w:iCs/>
                <w:lang w:val="vi-VN"/>
              </w:rPr>
              <w:t xml:space="preserve">  Sprijin pentru persoanele cu dizabilitati </w:t>
            </w:r>
          </w:p>
          <w:p w14:paraId="6149B867" w14:textId="77777777" w:rsidR="007120A9" w:rsidRPr="00581DE4" w:rsidRDefault="007120A9" w:rsidP="0098548C">
            <w:pPr>
              <w:spacing w:line="276" w:lineRule="auto"/>
              <w:jc w:val="both"/>
              <w:rPr>
                <w:bCs/>
                <w:iCs/>
              </w:rPr>
            </w:pPr>
            <w:r w:rsidRPr="00581DE4">
              <w:rPr>
                <w:bCs/>
                <w:iCs/>
              </w:rPr>
              <w:t xml:space="preserve">Acțiunea 6.1 Sprijinirea încadrării pe piața muncii sau creșterea </w:t>
            </w:r>
            <w:proofErr w:type="spellStart"/>
            <w:r w:rsidRPr="00581DE4">
              <w:rPr>
                <w:bCs/>
                <w:iCs/>
              </w:rPr>
              <w:t>angajabilității</w:t>
            </w:r>
            <w:proofErr w:type="spellEnd"/>
            <w:r w:rsidRPr="00581DE4">
              <w:rPr>
                <w:bCs/>
                <w:iCs/>
              </w:rPr>
              <w:t xml:space="preserve"> persoanelor cu dizabilități</w:t>
            </w:r>
          </w:p>
          <w:p w14:paraId="64343C01" w14:textId="33C02F41" w:rsidR="007120A9" w:rsidRPr="00581DE4" w:rsidRDefault="007120A9" w:rsidP="0098548C">
            <w:pPr>
              <w:spacing w:line="276" w:lineRule="auto"/>
              <w:jc w:val="both"/>
              <w:rPr>
                <w:bCs/>
                <w:iCs/>
              </w:rPr>
            </w:pPr>
            <w:r w:rsidRPr="00581DE4">
              <w:rPr>
                <w:bCs/>
                <w:iCs/>
              </w:rPr>
              <w:lastRenderedPageBreak/>
              <w:t xml:space="preserve">Acțiunea 6.2 </w:t>
            </w:r>
            <w:r w:rsidR="00F72196">
              <w:rPr>
                <w:bCs/>
                <w:iCs/>
              </w:rPr>
              <w:t>Î</w:t>
            </w:r>
            <w:r w:rsidRPr="00581DE4">
              <w:rPr>
                <w:bCs/>
                <w:iCs/>
              </w:rPr>
              <w:t>nființează 47 de echipe de asistență juridică pentru persoane fără sau cu capacitate de exerci</w:t>
            </w:r>
            <w:r w:rsidR="00F72196">
              <w:rPr>
                <w:bCs/>
                <w:iCs/>
              </w:rPr>
              <w:t>ț</w:t>
            </w:r>
            <w:r w:rsidRPr="00581DE4">
              <w:rPr>
                <w:bCs/>
                <w:iCs/>
              </w:rPr>
              <w:t>iu limitată</w:t>
            </w:r>
          </w:p>
          <w:p w14:paraId="42EEE47B" w14:textId="77777777" w:rsidR="007120A9" w:rsidRPr="00581DE4" w:rsidRDefault="007120A9" w:rsidP="0098548C">
            <w:pPr>
              <w:spacing w:line="276" w:lineRule="auto"/>
              <w:jc w:val="both"/>
              <w:rPr>
                <w:bCs/>
                <w:iCs/>
              </w:rPr>
            </w:pPr>
            <w:r w:rsidRPr="00581DE4">
              <w:rPr>
                <w:bCs/>
                <w:iCs/>
              </w:rPr>
              <w:t xml:space="preserve">Acțiunea 6.4 Accesul persoanelor cu dizabilități la echipamente și tehnologii </w:t>
            </w:r>
            <w:proofErr w:type="spellStart"/>
            <w:r w:rsidRPr="00581DE4">
              <w:rPr>
                <w:bCs/>
                <w:iCs/>
              </w:rPr>
              <w:t>asistive</w:t>
            </w:r>
            <w:proofErr w:type="spellEnd"/>
          </w:p>
          <w:p w14:paraId="61C00EA9" w14:textId="77777777" w:rsidR="007120A9" w:rsidRPr="00581DE4" w:rsidRDefault="007120A9" w:rsidP="0098548C">
            <w:pPr>
              <w:spacing w:line="276" w:lineRule="auto"/>
              <w:jc w:val="both"/>
              <w:rPr>
                <w:bCs/>
                <w:iCs/>
              </w:rPr>
            </w:pPr>
            <w:r w:rsidRPr="00581DE4">
              <w:rPr>
                <w:bCs/>
                <w:iCs/>
              </w:rPr>
              <w:t>Acțiunea 6.5 Dezvoltarea serviciilor de reabilitare în comunitate, prin 47 de echipe de servicii mobile</w:t>
            </w:r>
          </w:p>
          <w:p w14:paraId="1FFF4A47" w14:textId="77777777" w:rsidR="007120A9" w:rsidRPr="00581DE4" w:rsidRDefault="007120A9" w:rsidP="0098548C">
            <w:pPr>
              <w:spacing w:line="276" w:lineRule="auto"/>
              <w:jc w:val="both"/>
              <w:rPr>
                <w:bCs/>
                <w:iCs/>
              </w:rPr>
            </w:pPr>
            <w:r w:rsidRPr="00581DE4">
              <w:rPr>
                <w:bCs/>
                <w:iCs/>
              </w:rPr>
              <w:t xml:space="preserve">Acțiunea 6.6 Dezvoltarea serviciilor sociale pentru persoanele cu dizabilități care părăsesc sistemul special de protecție sau care doresc să trăiască independent în comunitate </w:t>
            </w:r>
          </w:p>
          <w:p w14:paraId="1FD15A50" w14:textId="77777777" w:rsidR="007120A9" w:rsidRPr="00581DE4" w:rsidRDefault="007120A9" w:rsidP="0098548C">
            <w:pPr>
              <w:spacing w:line="276" w:lineRule="auto"/>
              <w:jc w:val="both"/>
              <w:rPr>
                <w:bCs/>
                <w:iCs/>
              </w:rPr>
            </w:pPr>
            <w:r w:rsidRPr="00581DE4">
              <w:rPr>
                <w:bCs/>
                <w:iCs/>
              </w:rPr>
              <w:t>Acțiunea 6.7 Dezvoltarea serviciilor pentru persoanele cu dizabilități în centrele de tip Respiro</w:t>
            </w:r>
          </w:p>
          <w:p w14:paraId="3D8284B5" w14:textId="640AFFEC" w:rsidR="007120A9" w:rsidRPr="002066F5" w:rsidRDefault="007120A9" w:rsidP="0098548C">
            <w:pPr>
              <w:spacing w:line="276" w:lineRule="auto"/>
              <w:jc w:val="both"/>
              <w:rPr>
                <w:bCs/>
                <w:iCs/>
              </w:rPr>
            </w:pPr>
            <w:r w:rsidRPr="00581DE4">
              <w:rPr>
                <w:bCs/>
                <w:iCs/>
              </w:rPr>
              <w:t>Acțiunea 6.8 Instruire (</w:t>
            </w:r>
            <w:r w:rsidR="00F72196">
              <w:rPr>
                <w:bCs/>
                <w:iCs/>
              </w:rPr>
              <w:t>î</w:t>
            </w:r>
            <w:r w:rsidRPr="00581DE4">
              <w:rPr>
                <w:bCs/>
                <w:iCs/>
              </w:rPr>
              <w:t>nvățare continu</w:t>
            </w:r>
            <w:r w:rsidR="00F72196">
              <w:rPr>
                <w:bCs/>
                <w:iCs/>
              </w:rPr>
              <w:t>ă</w:t>
            </w:r>
            <w:r w:rsidRPr="00581DE4">
              <w:rPr>
                <w:bCs/>
                <w:iCs/>
              </w:rPr>
              <w:t>) pentru specialiștii care lucrează cu persoane cu dizabilități</w:t>
            </w:r>
          </w:p>
        </w:tc>
      </w:tr>
      <w:tr w:rsidR="002066F5" w:rsidRPr="002066F5" w14:paraId="7661D4C1" w14:textId="77777777" w:rsidTr="00EE074E">
        <w:tc>
          <w:tcPr>
            <w:tcW w:w="5000" w:type="pct"/>
            <w:gridSpan w:val="3"/>
          </w:tcPr>
          <w:p w14:paraId="08566B5F" w14:textId="27BDA656" w:rsidR="00EE074E" w:rsidRPr="002066F5" w:rsidRDefault="00EE074E" w:rsidP="00D5727D">
            <w:pPr>
              <w:jc w:val="both"/>
              <w:rPr>
                <w:bCs/>
                <w:iCs/>
              </w:rPr>
            </w:pPr>
            <w:r w:rsidRPr="006446F1">
              <w:rPr>
                <w:bCs/>
                <w:iCs/>
                <w:color w:val="FF0000"/>
              </w:rPr>
              <w:lastRenderedPageBreak/>
              <w:t xml:space="preserve">Măsurile POIDS de sprijin pentru persoanele cu </w:t>
            </w:r>
            <w:r w:rsidR="00D5727D" w:rsidRPr="006446F1">
              <w:rPr>
                <w:bCs/>
                <w:iCs/>
                <w:color w:val="FF0000"/>
              </w:rPr>
              <w:t>d</w:t>
            </w:r>
            <w:r w:rsidR="00F72196">
              <w:rPr>
                <w:bCs/>
                <w:iCs/>
                <w:color w:val="FF0000"/>
              </w:rPr>
              <w:t>i</w:t>
            </w:r>
            <w:r w:rsidR="00D5727D" w:rsidRPr="006446F1">
              <w:rPr>
                <w:bCs/>
                <w:iCs/>
                <w:color w:val="FF0000"/>
              </w:rPr>
              <w:t>zabilități (Prioritatea 6)</w:t>
            </w:r>
            <w:r w:rsidRPr="006446F1">
              <w:rPr>
                <w:bCs/>
                <w:iCs/>
                <w:color w:val="FF0000"/>
              </w:rPr>
              <w:t xml:space="preserve"> vin </w:t>
            </w:r>
            <w:r w:rsidR="00F72196">
              <w:rPr>
                <w:bCs/>
                <w:iCs/>
                <w:color w:val="FF0000"/>
              </w:rPr>
              <w:t>î</w:t>
            </w:r>
            <w:r w:rsidRPr="006446F1">
              <w:rPr>
                <w:bCs/>
                <w:iCs/>
                <w:color w:val="FF0000"/>
              </w:rPr>
              <w:t xml:space="preserve">n completarea cadrului legislativ și procedural creat prin PNRR pentru îmbunătățirea calității vieții </w:t>
            </w:r>
            <w:r w:rsidR="00D5727D" w:rsidRPr="006446F1">
              <w:rPr>
                <w:bCs/>
                <w:iCs/>
                <w:color w:val="FF0000"/>
              </w:rPr>
              <w:t>și</w:t>
            </w:r>
            <w:r w:rsidRPr="006446F1">
              <w:rPr>
                <w:bCs/>
                <w:iCs/>
                <w:color w:val="FF0000"/>
              </w:rPr>
              <w:t xml:space="preserve"> accelerarea procesului de dezinstituționalizare</w:t>
            </w:r>
            <w:r w:rsidR="00D5727D" w:rsidRPr="006446F1">
              <w:rPr>
                <w:bCs/>
                <w:iCs/>
                <w:color w:val="FF0000"/>
              </w:rPr>
              <w:t>, prin sprijinirea încadrării pe piața muncii și prin acordarea de</w:t>
            </w:r>
            <w:r w:rsidR="00D5727D" w:rsidRPr="006446F1">
              <w:rPr>
                <w:color w:val="FF0000"/>
              </w:rPr>
              <w:t xml:space="preserve"> </w:t>
            </w:r>
            <w:r w:rsidR="00D5727D" w:rsidRPr="006446F1">
              <w:rPr>
                <w:bCs/>
                <w:iCs/>
                <w:color w:val="FF0000"/>
              </w:rPr>
              <w:t xml:space="preserve">asistență juridică pentru persoane fără sau cu capacitate de exercițiu limitată. De asemenea, infrastructura socială pentru persoanele cu dezabilități dezvoltată prin PNRR va fi completată prin POIDS cu centre de tip Respiro, cu servicii mobile pentru reabilitarea în comunitate, servicii sociale pentru persoanele cu dezabilități care părăsesc sistemul special de protecție sau care doresc să trăiască independent în comunitate, precum și cu asigurarea accesului la echipamente și tehnologii </w:t>
            </w:r>
            <w:proofErr w:type="spellStart"/>
            <w:r w:rsidR="00D5727D" w:rsidRPr="006446F1">
              <w:rPr>
                <w:bCs/>
                <w:iCs/>
                <w:color w:val="FF0000"/>
              </w:rPr>
              <w:t>asistive</w:t>
            </w:r>
            <w:proofErr w:type="spellEnd"/>
            <w:r w:rsidR="00D5727D" w:rsidRPr="006446F1">
              <w:rPr>
                <w:bCs/>
                <w:iCs/>
                <w:color w:val="FF0000"/>
              </w:rPr>
              <w:t xml:space="preserve">. POIDS va asigura totodată instruirea specialiștilor care lucrează în domeniul asistenței sociale. </w:t>
            </w:r>
          </w:p>
        </w:tc>
      </w:tr>
      <w:tr w:rsidR="002066F5" w:rsidRPr="002066F5" w14:paraId="4E574C26" w14:textId="77777777" w:rsidTr="007120A9">
        <w:tc>
          <w:tcPr>
            <w:tcW w:w="1592" w:type="pct"/>
          </w:tcPr>
          <w:p w14:paraId="222BE7A0" w14:textId="77777777" w:rsidR="007120A9" w:rsidRPr="002066F5" w:rsidRDefault="007120A9" w:rsidP="0098548C">
            <w:pPr>
              <w:spacing w:line="276" w:lineRule="auto"/>
              <w:jc w:val="both"/>
              <w:rPr>
                <w:b/>
              </w:rPr>
            </w:pPr>
            <w:r w:rsidRPr="002066F5">
              <w:rPr>
                <w:b/>
              </w:rPr>
              <w:t>Reforma 3 – Implementarea Venitului Minim de Incluziune</w:t>
            </w:r>
          </w:p>
          <w:p w14:paraId="0961B42E" w14:textId="77777777" w:rsidR="007120A9" w:rsidRPr="002066F5" w:rsidRDefault="007120A9" w:rsidP="0098548C">
            <w:pPr>
              <w:spacing w:line="276" w:lineRule="auto"/>
              <w:jc w:val="both"/>
            </w:pPr>
          </w:p>
          <w:p w14:paraId="0449EE07" w14:textId="53609F2B" w:rsidR="007120A9" w:rsidRPr="002066F5" w:rsidRDefault="007120A9" w:rsidP="0098548C">
            <w:pPr>
              <w:spacing w:line="276" w:lineRule="auto"/>
              <w:jc w:val="both"/>
            </w:pPr>
            <w:r w:rsidRPr="002066F5">
              <w:t>Investiția 3 - Dezvoltarea Sistemului Na</w:t>
            </w:r>
            <w:r w:rsidR="00F72196">
              <w:t>ț</w:t>
            </w:r>
            <w:r w:rsidRPr="002066F5">
              <w:t>ional Integrat de Asistență Socială și asigurarea suportului logistic pentru implementarea VMI</w:t>
            </w:r>
          </w:p>
          <w:p w14:paraId="233D478E" w14:textId="77777777" w:rsidR="007120A9" w:rsidRPr="002066F5" w:rsidRDefault="007120A9" w:rsidP="0098548C">
            <w:pPr>
              <w:spacing w:line="276" w:lineRule="auto"/>
              <w:jc w:val="both"/>
              <w:rPr>
                <w:b/>
              </w:rPr>
            </w:pPr>
          </w:p>
        </w:tc>
        <w:tc>
          <w:tcPr>
            <w:tcW w:w="1715" w:type="pct"/>
          </w:tcPr>
          <w:p w14:paraId="00EED13B" w14:textId="77777777" w:rsidR="007120A9" w:rsidRPr="002066F5" w:rsidRDefault="007120A9" w:rsidP="0098548C">
            <w:pPr>
              <w:pStyle w:val="ListParagraph"/>
              <w:spacing w:line="276" w:lineRule="auto"/>
              <w:contextualSpacing w:val="0"/>
              <w:jc w:val="both"/>
              <w:rPr>
                <w:i/>
              </w:rPr>
            </w:pPr>
          </w:p>
        </w:tc>
        <w:tc>
          <w:tcPr>
            <w:tcW w:w="1693" w:type="pct"/>
          </w:tcPr>
          <w:p w14:paraId="64DD7236" w14:textId="2DCF0C65" w:rsidR="007120A9" w:rsidRPr="00581DE4" w:rsidRDefault="007120A9" w:rsidP="0098548C">
            <w:pPr>
              <w:spacing w:line="276" w:lineRule="auto"/>
              <w:jc w:val="both"/>
              <w:rPr>
                <w:b/>
                <w:bCs/>
                <w:iCs/>
              </w:rPr>
            </w:pPr>
            <w:r w:rsidRPr="00581DE4">
              <w:rPr>
                <w:b/>
                <w:bCs/>
                <w:iCs/>
              </w:rPr>
              <w:t>Prioritatea 4</w:t>
            </w:r>
            <w:r w:rsidR="00210E3E">
              <w:rPr>
                <w:b/>
                <w:bCs/>
                <w:iCs/>
              </w:rPr>
              <w:t xml:space="preserve"> -</w:t>
            </w:r>
            <w:r w:rsidRPr="00581DE4">
              <w:rPr>
                <w:b/>
                <w:bCs/>
                <w:iCs/>
              </w:rPr>
              <w:t xml:space="preserve"> Reducerea disparităților dintre copiii la risc de sărăcie și/sau excluziune socială și ceilalți copii</w:t>
            </w:r>
          </w:p>
          <w:p w14:paraId="1E738126" w14:textId="19E26DBC" w:rsidR="007120A9" w:rsidRPr="002066F5" w:rsidRDefault="007120A9" w:rsidP="0098548C">
            <w:pPr>
              <w:spacing w:line="276" w:lineRule="auto"/>
              <w:jc w:val="both"/>
              <w:rPr>
                <w:b/>
                <w:bCs/>
                <w:iCs/>
              </w:rPr>
            </w:pPr>
            <w:r w:rsidRPr="00581DE4">
              <w:rPr>
                <w:b/>
                <w:bCs/>
                <w:iCs/>
                <w:lang w:val="vi-VN"/>
              </w:rPr>
              <w:t>Prioritatea 6</w:t>
            </w:r>
            <w:r w:rsidR="00210E3E">
              <w:rPr>
                <w:b/>
                <w:bCs/>
                <w:iCs/>
              </w:rPr>
              <w:t xml:space="preserve"> - </w:t>
            </w:r>
            <w:r w:rsidRPr="00581DE4">
              <w:rPr>
                <w:b/>
                <w:bCs/>
                <w:iCs/>
                <w:lang w:val="vi-VN"/>
              </w:rPr>
              <w:t>Sprijin pentru persoanele cu dizabilit</w:t>
            </w:r>
            <w:proofErr w:type="spellStart"/>
            <w:r w:rsidR="00F72196">
              <w:rPr>
                <w:b/>
                <w:bCs/>
                <w:iCs/>
              </w:rPr>
              <w:t>ăț</w:t>
            </w:r>
            <w:proofErr w:type="spellEnd"/>
            <w:r w:rsidRPr="00581DE4">
              <w:rPr>
                <w:b/>
                <w:bCs/>
                <w:iCs/>
                <w:lang w:val="vi-VN"/>
              </w:rPr>
              <w:t xml:space="preserve">i </w:t>
            </w:r>
          </w:p>
          <w:p w14:paraId="502E5397" w14:textId="0B46100D" w:rsidR="007120A9" w:rsidRPr="00410B81" w:rsidRDefault="007120A9" w:rsidP="00410B81">
            <w:pPr>
              <w:spacing w:after="200" w:line="276" w:lineRule="auto"/>
              <w:jc w:val="both"/>
              <w:rPr>
                <w:b/>
                <w:bCs/>
                <w:iCs/>
                <w:lang w:val="vi-VN"/>
              </w:rPr>
            </w:pPr>
            <w:r w:rsidRPr="00410B81">
              <w:rPr>
                <w:b/>
                <w:bCs/>
                <w:iCs/>
                <w:lang w:val="vi-VN"/>
              </w:rPr>
              <w:t>Prioritatea 7</w:t>
            </w:r>
            <w:r w:rsidR="00210E3E">
              <w:rPr>
                <w:b/>
                <w:bCs/>
                <w:iCs/>
              </w:rPr>
              <w:t xml:space="preserve"> - </w:t>
            </w:r>
            <w:r w:rsidRPr="00410B81">
              <w:rPr>
                <w:b/>
                <w:bCs/>
                <w:iCs/>
                <w:lang w:val="vi-VN"/>
              </w:rPr>
              <w:t xml:space="preserve"> Servicii sociale </w:t>
            </w:r>
            <w:r w:rsidR="00F72196">
              <w:rPr>
                <w:b/>
                <w:bCs/>
                <w:iCs/>
              </w:rPr>
              <w:t>ș</w:t>
            </w:r>
            <w:r w:rsidRPr="00410B81">
              <w:rPr>
                <w:b/>
                <w:bCs/>
                <w:iCs/>
                <w:lang w:val="vi-VN"/>
              </w:rPr>
              <w:t xml:space="preserve">i de suport acordate altor grupuri vulnerabile </w:t>
            </w:r>
          </w:p>
          <w:p w14:paraId="1C4997F5" w14:textId="77777777" w:rsidR="007120A9" w:rsidRPr="002066F5" w:rsidRDefault="007120A9" w:rsidP="00410B81">
            <w:pPr>
              <w:spacing w:before="120" w:after="200" w:line="276" w:lineRule="auto"/>
              <w:jc w:val="both"/>
              <w:rPr>
                <w:bCs/>
                <w:iCs/>
              </w:rPr>
            </w:pPr>
            <w:r w:rsidRPr="00410B81">
              <w:rPr>
                <w:bCs/>
                <w:iCs/>
              </w:rPr>
              <w:t xml:space="preserve">Acțiunea 7.1 Pachete de servicii integrate pentru </w:t>
            </w:r>
            <w:proofErr w:type="spellStart"/>
            <w:r w:rsidRPr="00410B81">
              <w:rPr>
                <w:bCs/>
                <w:iCs/>
              </w:rPr>
              <w:t>migranți</w:t>
            </w:r>
            <w:proofErr w:type="spellEnd"/>
            <w:r w:rsidRPr="00410B81">
              <w:rPr>
                <w:bCs/>
                <w:iCs/>
              </w:rPr>
              <w:t xml:space="preserve"> (pachetul pentru adulți și copii) - cursuri </w:t>
            </w:r>
            <w:r w:rsidRPr="00410B81">
              <w:rPr>
                <w:bCs/>
                <w:iCs/>
              </w:rPr>
              <w:lastRenderedPageBreak/>
              <w:t>de limba română, profilare, certificare, asistență administrativă etc.) și dezvoltarea / reabilitarea infrastructurii specifice</w:t>
            </w:r>
          </w:p>
        </w:tc>
      </w:tr>
      <w:tr w:rsidR="002066F5" w:rsidRPr="002066F5" w14:paraId="5AE5B9B7" w14:textId="77777777" w:rsidTr="00AC4674">
        <w:tc>
          <w:tcPr>
            <w:tcW w:w="5000" w:type="pct"/>
            <w:gridSpan w:val="3"/>
          </w:tcPr>
          <w:p w14:paraId="061125D9" w14:textId="267F5E73" w:rsidR="00AC4674" w:rsidRPr="002066F5" w:rsidRDefault="00AC4674" w:rsidP="00F05661">
            <w:pPr>
              <w:jc w:val="both"/>
              <w:rPr>
                <w:bCs/>
                <w:iCs/>
              </w:rPr>
            </w:pPr>
            <w:r w:rsidRPr="002066F5">
              <w:rPr>
                <w:bCs/>
                <w:iCs/>
              </w:rPr>
              <w:lastRenderedPageBreak/>
              <w:t>Prin PNRR este vizată asigurarea cadrului legislativ și a suportului logistic pentru implementarea VMI</w:t>
            </w:r>
            <w:r w:rsidR="00F05661" w:rsidRPr="002066F5">
              <w:rPr>
                <w:bCs/>
                <w:iCs/>
              </w:rPr>
              <w:t xml:space="preserve">, prin unificarea diferitelor forme de sprijin (Venitul minim garantat - VMG, </w:t>
            </w:r>
            <w:proofErr w:type="spellStart"/>
            <w:r w:rsidR="00F05661" w:rsidRPr="002066F5">
              <w:rPr>
                <w:bCs/>
                <w:iCs/>
              </w:rPr>
              <w:t>Alocaţie</w:t>
            </w:r>
            <w:proofErr w:type="spellEnd"/>
            <w:r w:rsidR="00F05661" w:rsidRPr="002066F5">
              <w:rPr>
                <w:bCs/>
                <w:iCs/>
              </w:rPr>
              <w:t xml:space="preserve"> pentru </w:t>
            </w:r>
            <w:proofErr w:type="spellStart"/>
            <w:r w:rsidR="00F05661" w:rsidRPr="002066F5">
              <w:rPr>
                <w:bCs/>
                <w:iCs/>
              </w:rPr>
              <w:t>susţinerea</w:t>
            </w:r>
            <w:proofErr w:type="spellEnd"/>
            <w:r w:rsidR="00F05661" w:rsidRPr="002066F5">
              <w:rPr>
                <w:bCs/>
                <w:iCs/>
              </w:rPr>
              <w:t xml:space="preserve"> familiei (ASF)</w:t>
            </w:r>
            <w:r w:rsidR="00740232" w:rsidRPr="002066F5">
              <w:rPr>
                <w:bCs/>
                <w:iCs/>
              </w:rPr>
              <w:t xml:space="preserve"> și Ajutorului de Încălzire (AI). Acest mecanism contribuie</w:t>
            </w:r>
            <w:r w:rsidR="00E4467A">
              <w:rPr>
                <w:bCs/>
                <w:iCs/>
              </w:rPr>
              <w:t>,</w:t>
            </w:r>
            <w:r w:rsidR="00740232" w:rsidRPr="002066F5">
              <w:rPr>
                <w:bCs/>
                <w:iCs/>
              </w:rPr>
              <w:t xml:space="preserve"> alături de măsurile vizate prin POIDS pentru grupuri vulnerabile specifice (copii aflați în risc de sărăcie sau excluziune socială, persoane cu dizabilități etc.)</w:t>
            </w:r>
            <w:r w:rsidR="00E4467A">
              <w:rPr>
                <w:bCs/>
                <w:iCs/>
              </w:rPr>
              <w:t>,</w:t>
            </w:r>
            <w:r w:rsidR="00740232" w:rsidRPr="002066F5">
              <w:rPr>
                <w:bCs/>
                <w:iCs/>
              </w:rPr>
              <w:t xml:space="preserve"> la incluziunea socială a acestora </w:t>
            </w:r>
          </w:p>
        </w:tc>
      </w:tr>
      <w:tr w:rsidR="002066F5" w:rsidRPr="002066F5" w14:paraId="3ADC1746" w14:textId="77777777" w:rsidTr="007120A9">
        <w:tc>
          <w:tcPr>
            <w:tcW w:w="1592" w:type="pct"/>
          </w:tcPr>
          <w:p w14:paraId="3A12910D" w14:textId="77777777" w:rsidR="007120A9" w:rsidRPr="002066F5" w:rsidRDefault="007120A9" w:rsidP="0098548C">
            <w:pPr>
              <w:spacing w:line="276" w:lineRule="auto"/>
              <w:jc w:val="both"/>
              <w:rPr>
                <w:b/>
              </w:rPr>
            </w:pPr>
            <w:r w:rsidRPr="002066F5">
              <w:rPr>
                <w:b/>
              </w:rPr>
              <w:t>Reforma 4 – Reforma formalizării muncii în domeniul lucrătorilor casnici</w:t>
            </w:r>
          </w:p>
          <w:p w14:paraId="755364F4" w14:textId="77777777" w:rsidR="007120A9" w:rsidRPr="002066F5" w:rsidRDefault="007120A9" w:rsidP="0098548C">
            <w:pPr>
              <w:spacing w:line="276" w:lineRule="auto"/>
              <w:jc w:val="both"/>
            </w:pPr>
          </w:p>
          <w:p w14:paraId="1B54DE8D" w14:textId="77777777" w:rsidR="007120A9" w:rsidRPr="002066F5" w:rsidRDefault="007120A9" w:rsidP="0098548C">
            <w:pPr>
              <w:spacing w:line="276" w:lineRule="auto"/>
              <w:jc w:val="both"/>
            </w:pPr>
            <w:r w:rsidRPr="002066F5">
              <w:t>Investiția 4 - Operaționalizarea introducerii tichetelor de muncă în domeniul lucrătorilor casnici</w:t>
            </w:r>
          </w:p>
          <w:p w14:paraId="21EA8F15" w14:textId="77777777" w:rsidR="007120A9" w:rsidRPr="002066F5" w:rsidRDefault="007120A9" w:rsidP="0098548C">
            <w:pPr>
              <w:spacing w:line="276" w:lineRule="auto"/>
              <w:jc w:val="both"/>
            </w:pPr>
          </w:p>
        </w:tc>
        <w:tc>
          <w:tcPr>
            <w:tcW w:w="1715" w:type="pct"/>
          </w:tcPr>
          <w:p w14:paraId="3E7FD386" w14:textId="77777777" w:rsidR="007120A9" w:rsidRPr="002066F5" w:rsidRDefault="007120A9" w:rsidP="0098548C">
            <w:pPr>
              <w:spacing w:line="276" w:lineRule="auto"/>
              <w:jc w:val="both"/>
              <w:rPr>
                <w:rFonts w:cstheme="minorHAnsi"/>
                <w:b/>
                <w:bCs/>
              </w:rPr>
            </w:pPr>
            <w:r w:rsidRPr="002066F5">
              <w:rPr>
                <w:rFonts w:cstheme="minorHAnsi"/>
                <w:b/>
                <w:bCs/>
              </w:rPr>
              <w:t xml:space="preserve">Prioritatea 6 Creșterea accesului pe piața muncii pentru toți  </w:t>
            </w:r>
          </w:p>
          <w:p w14:paraId="48E28CAD" w14:textId="77777777" w:rsidR="007120A9" w:rsidRPr="002066F5" w:rsidRDefault="007120A9" w:rsidP="00172C57">
            <w:pPr>
              <w:spacing w:before="60" w:line="276" w:lineRule="auto"/>
              <w:jc w:val="both"/>
              <w:rPr>
                <w:rFonts w:cstheme="minorHAnsi"/>
                <w:bCs/>
              </w:rPr>
            </w:pPr>
            <w:r w:rsidRPr="002066F5">
              <w:rPr>
                <w:rFonts w:cstheme="minorHAnsi"/>
                <w:bCs/>
              </w:rPr>
              <w:t xml:space="preserve">Acțiunea 6.i.1. Furnizarea serviciilor de identificare, îndrumare, sprijin și management de caz pentru persoanele din grupuri dezavantajate </w:t>
            </w:r>
          </w:p>
          <w:p w14:paraId="363BB040" w14:textId="77777777" w:rsidR="007120A9" w:rsidRPr="002066F5" w:rsidRDefault="007120A9" w:rsidP="00172C57">
            <w:pPr>
              <w:spacing w:before="60" w:line="276" w:lineRule="auto"/>
              <w:jc w:val="both"/>
              <w:rPr>
                <w:rFonts w:cstheme="minorHAnsi"/>
                <w:bCs/>
              </w:rPr>
            </w:pPr>
            <w:r w:rsidRPr="002066F5">
              <w:rPr>
                <w:rFonts w:cstheme="minorHAnsi"/>
                <w:bCs/>
              </w:rPr>
              <w:t xml:space="preserve">Acțiunea 6.i.2 Furnizarea de pachete personalizate de măsuri active pentru persoanele din grupuri dezavantajate în vederea facilitării accesului pe piața muncii și integrării </w:t>
            </w:r>
            <w:proofErr w:type="spellStart"/>
            <w:r w:rsidRPr="002066F5">
              <w:rPr>
                <w:rFonts w:cstheme="minorHAnsi"/>
                <w:bCs/>
              </w:rPr>
              <w:t>socio</w:t>
            </w:r>
            <w:proofErr w:type="spellEnd"/>
            <w:r w:rsidRPr="002066F5">
              <w:rPr>
                <w:rFonts w:cstheme="minorHAnsi"/>
                <w:bCs/>
              </w:rPr>
              <w:t xml:space="preserve">-profesionale </w:t>
            </w:r>
          </w:p>
        </w:tc>
        <w:tc>
          <w:tcPr>
            <w:tcW w:w="1693" w:type="pct"/>
          </w:tcPr>
          <w:p w14:paraId="2AE55434" w14:textId="77777777" w:rsidR="007120A9" w:rsidRPr="002066F5" w:rsidRDefault="007120A9" w:rsidP="0098548C">
            <w:pPr>
              <w:spacing w:line="276" w:lineRule="auto"/>
              <w:jc w:val="both"/>
              <w:rPr>
                <w:b/>
              </w:rPr>
            </w:pPr>
          </w:p>
        </w:tc>
      </w:tr>
      <w:tr w:rsidR="002066F5" w:rsidRPr="002066F5" w14:paraId="4331362C" w14:textId="77777777" w:rsidTr="00AC4674">
        <w:tc>
          <w:tcPr>
            <w:tcW w:w="5000" w:type="pct"/>
            <w:gridSpan w:val="3"/>
          </w:tcPr>
          <w:p w14:paraId="28759DBD" w14:textId="77777777" w:rsidR="00AC4674" w:rsidRPr="002066F5" w:rsidRDefault="00740232" w:rsidP="00740232">
            <w:pPr>
              <w:jc w:val="both"/>
            </w:pPr>
            <w:r w:rsidRPr="006446F1">
              <w:rPr>
                <w:color w:val="FF0000"/>
              </w:rPr>
              <w:t>Formalizarea muncii în domeniul lucrătorilor casnici și introducerea tichetelor de muncă pentru aceștia prin PNRR vin în sprijinul ocupării grupurilor vulnerabile pe piața muncii, complementar cu măsurile active de ocupare personalizate în funcție de nevoi oferite de POEO în cadrul Priorității 6.</w:t>
            </w:r>
          </w:p>
        </w:tc>
      </w:tr>
      <w:tr w:rsidR="002066F5" w:rsidRPr="002066F5" w14:paraId="68A2FC3D" w14:textId="77777777" w:rsidTr="007120A9">
        <w:tc>
          <w:tcPr>
            <w:tcW w:w="1592" w:type="pct"/>
          </w:tcPr>
          <w:p w14:paraId="51F82002" w14:textId="77777777" w:rsidR="007120A9" w:rsidRPr="002066F5" w:rsidRDefault="007120A9" w:rsidP="0098548C">
            <w:pPr>
              <w:spacing w:line="276" w:lineRule="auto"/>
              <w:jc w:val="both"/>
            </w:pPr>
          </w:p>
          <w:p w14:paraId="36F0C764" w14:textId="77777777" w:rsidR="007120A9" w:rsidRPr="002066F5" w:rsidRDefault="007120A9" w:rsidP="0098548C">
            <w:pPr>
              <w:spacing w:line="276" w:lineRule="auto"/>
              <w:jc w:val="both"/>
              <w:rPr>
                <w:b/>
              </w:rPr>
            </w:pPr>
            <w:r w:rsidRPr="002066F5">
              <w:rPr>
                <w:b/>
              </w:rPr>
              <w:t>Reforma 5 - Îmbunătățirea și modernizarea legislației privind economia socială</w:t>
            </w:r>
          </w:p>
          <w:p w14:paraId="4E1E18ED" w14:textId="77777777" w:rsidR="007120A9" w:rsidRPr="002066F5" w:rsidRDefault="007120A9" w:rsidP="0098548C">
            <w:pPr>
              <w:spacing w:line="276" w:lineRule="auto"/>
              <w:jc w:val="both"/>
            </w:pPr>
          </w:p>
          <w:p w14:paraId="73AF0E84" w14:textId="77777777" w:rsidR="007120A9" w:rsidRPr="002066F5" w:rsidRDefault="007120A9" w:rsidP="0098548C">
            <w:pPr>
              <w:spacing w:line="276" w:lineRule="auto"/>
              <w:jc w:val="both"/>
            </w:pPr>
          </w:p>
          <w:p w14:paraId="1DCCD6AA" w14:textId="77777777" w:rsidR="007120A9" w:rsidRPr="002066F5" w:rsidRDefault="007120A9" w:rsidP="0098548C">
            <w:pPr>
              <w:spacing w:line="276" w:lineRule="auto"/>
              <w:jc w:val="both"/>
            </w:pPr>
            <w:r w:rsidRPr="002066F5">
              <w:t>Investiția 5 - Scheme de granturi pentru sprijinirea dezvoltării economiei sociale</w:t>
            </w:r>
          </w:p>
          <w:p w14:paraId="56540336" w14:textId="77777777" w:rsidR="007120A9" w:rsidRPr="002066F5" w:rsidRDefault="007120A9" w:rsidP="0098548C">
            <w:pPr>
              <w:spacing w:line="276" w:lineRule="auto"/>
              <w:jc w:val="both"/>
              <w:rPr>
                <w:b/>
                <w:i/>
              </w:rPr>
            </w:pPr>
          </w:p>
        </w:tc>
        <w:tc>
          <w:tcPr>
            <w:tcW w:w="1715" w:type="pct"/>
          </w:tcPr>
          <w:p w14:paraId="700C0515" w14:textId="77777777" w:rsidR="007120A9" w:rsidRPr="00BE1C70" w:rsidRDefault="007120A9" w:rsidP="00BE1C70">
            <w:pPr>
              <w:spacing w:after="200" w:line="276" w:lineRule="auto"/>
              <w:jc w:val="both"/>
              <w:rPr>
                <w:rFonts w:eastAsia="Times New Roman"/>
                <w:b/>
                <w:sz w:val="23"/>
                <w:szCs w:val="23"/>
                <w:lang w:eastAsia="en-GB"/>
              </w:rPr>
            </w:pPr>
            <w:r w:rsidRPr="00BE1C70">
              <w:rPr>
                <w:rFonts w:eastAsia="Times New Roman"/>
                <w:b/>
                <w:sz w:val="23"/>
                <w:szCs w:val="23"/>
                <w:lang w:eastAsia="en-GB"/>
              </w:rPr>
              <w:t>Prioritatea 7</w:t>
            </w:r>
            <w:r w:rsidRPr="002066F5">
              <w:rPr>
                <w:rFonts w:eastAsia="Times New Roman"/>
                <w:b/>
                <w:sz w:val="23"/>
                <w:szCs w:val="23"/>
                <w:lang w:eastAsia="en-GB"/>
              </w:rPr>
              <w:t>:</w:t>
            </w:r>
            <w:r w:rsidRPr="00BE1C70">
              <w:rPr>
                <w:rFonts w:eastAsia="Times New Roman"/>
                <w:b/>
                <w:sz w:val="23"/>
                <w:szCs w:val="23"/>
                <w:lang w:eastAsia="en-GB"/>
              </w:rPr>
              <w:t xml:space="preserve"> </w:t>
            </w:r>
            <w:proofErr w:type="spellStart"/>
            <w:r w:rsidRPr="00BE1C70">
              <w:rPr>
                <w:rFonts w:eastAsia="Times New Roman"/>
                <w:b/>
                <w:sz w:val="23"/>
                <w:szCs w:val="23"/>
                <w:lang w:eastAsia="en-GB"/>
              </w:rPr>
              <w:t>Antreprenoriat</w:t>
            </w:r>
            <w:proofErr w:type="spellEnd"/>
            <w:r w:rsidRPr="00BE1C70">
              <w:rPr>
                <w:rFonts w:eastAsia="Times New Roman"/>
                <w:b/>
                <w:sz w:val="23"/>
                <w:szCs w:val="23"/>
                <w:lang w:eastAsia="en-GB"/>
              </w:rPr>
              <w:t xml:space="preserve"> și economie socială</w:t>
            </w:r>
          </w:p>
          <w:p w14:paraId="182BE800" w14:textId="77777777" w:rsidR="007120A9" w:rsidRPr="00BE1C70" w:rsidRDefault="007120A9" w:rsidP="00172C57">
            <w:pPr>
              <w:spacing w:after="200" w:line="276" w:lineRule="auto"/>
              <w:contextualSpacing/>
              <w:jc w:val="both"/>
            </w:pPr>
            <w:r w:rsidRPr="00832BE5">
              <w:t xml:space="preserve">Acțiunea 7.i.1 </w:t>
            </w:r>
            <w:r w:rsidRPr="00BE1C70">
              <w:t xml:space="preserve">Dezvoltarea unor structuri </w:t>
            </w:r>
            <w:proofErr w:type="spellStart"/>
            <w:r w:rsidRPr="00BE1C70">
              <w:t>colaborative</w:t>
            </w:r>
            <w:proofErr w:type="spellEnd"/>
            <w:r w:rsidRPr="00BE1C70">
              <w:t xml:space="preserve">/ participative pentru promovarea </w:t>
            </w:r>
            <w:proofErr w:type="spellStart"/>
            <w:r w:rsidRPr="00BE1C70">
              <w:t>antreprenoriatului</w:t>
            </w:r>
            <w:proofErr w:type="spellEnd"/>
            <w:r w:rsidRPr="00BE1C70">
              <w:t xml:space="preserve">, </w:t>
            </w:r>
            <w:proofErr w:type="spellStart"/>
            <w:r w:rsidRPr="00BE1C70">
              <w:t>antreprenoriatului</w:t>
            </w:r>
            <w:proofErr w:type="spellEnd"/>
            <w:r w:rsidRPr="00BE1C70">
              <w:t xml:space="preserve"> social și a economiei sociale, inclusiv studii de cercetare pentru economia socială sau metodologii ori rețele de entități care dezvoltă instrumente diverse pentru sector</w:t>
            </w:r>
          </w:p>
          <w:p w14:paraId="676FF4BB" w14:textId="77777777" w:rsidR="007120A9" w:rsidRPr="00BE1C70" w:rsidRDefault="007120A9" w:rsidP="004877A6">
            <w:pPr>
              <w:spacing w:after="200" w:line="276" w:lineRule="auto"/>
              <w:contextualSpacing/>
              <w:jc w:val="both"/>
            </w:pPr>
            <w:r w:rsidRPr="00832BE5">
              <w:t xml:space="preserve">Acțiunea </w:t>
            </w:r>
            <w:r w:rsidRPr="00832BE5">
              <w:rPr>
                <w:rFonts w:eastAsia="Times New Roman"/>
                <w:szCs w:val="24"/>
                <w:lang w:eastAsia="en-GB"/>
              </w:rPr>
              <w:t xml:space="preserve">7.i.5 </w:t>
            </w:r>
            <w:r w:rsidRPr="00BE1C70">
              <w:t xml:space="preserve">Acordarea de granturi pentru înființarea dezvoltare/ inovare/scalare/ extindere/ de întreprinderi sociale și întreprinderi sociale de </w:t>
            </w:r>
            <w:r w:rsidRPr="00BE1C70">
              <w:lastRenderedPageBreak/>
              <w:t>inserție, inclusiv în domeniul oferirii de servicii sociale.</w:t>
            </w:r>
          </w:p>
          <w:p w14:paraId="4D0C94A2" w14:textId="77777777" w:rsidR="007120A9" w:rsidRPr="00BE1C70" w:rsidRDefault="007120A9" w:rsidP="004877A6">
            <w:pPr>
              <w:spacing w:after="200" w:line="276" w:lineRule="auto"/>
              <w:contextualSpacing/>
              <w:jc w:val="both"/>
            </w:pPr>
            <w:r w:rsidRPr="00832BE5">
              <w:t xml:space="preserve">Acțiunea 7.i.6 </w:t>
            </w:r>
            <w:r w:rsidRPr="00BE1C70">
              <w:t>Asistență și consultanță post înființare pentru întreprinderile sociale și întreprinderile sociale de inserție</w:t>
            </w:r>
          </w:p>
          <w:p w14:paraId="76AED780" w14:textId="4429F9DA" w:rsidR="007120A9" w:rsidRPr="002066F5" w:rsidRDefault="007120A9" w:rsidP="004877A6">
            <w:pPr>
              <w:jc w:val="both"/>
              <w:rPr>
                <w:rFonts w:eastAsia="Times New Roman"/>
                <w:b/>
                <w:lang w:eastAsia="en-GB"/>
              </w:rPr>
            </w:pPr>
            <w:r w:rsidRPr="00832BE5">
              <w:t>Acțiunea 7.i.7 Sprijinirea angajatorilor</w:t>
            </w:r>
            <w:r w:rsidRPr="002066F5">
              <w:t xml:space="preserve"> întreprinderi sociale de inserție pentru inser</w:t>
            </w:r>
            <w:r w:rsidR="00E4467A">
              <w:t>ț</w:t>
            </w:r>
            <w:r w:rsidRPr="002066F5">
              <w:t xml:space="preserve">ia </w:t>
            </w:r>
            <w:proofErr w:type="spellStart"/>
            <w:r w:rsidRPr="002066F5">
              <w:t>socio</w:t>
            </w:r>
            <w:proofErr w:type="spellEnd"/>
            <w:r w:rsidRPr="002066F5">
              <w:t>-profesional</w:t>
            </w:r>
            <w:r w:rsidR="00E4467A">
              <w:t>ă</w:t>
            </w:r>
            <w:r w:rsidRPr="002066F5">
              <w:t xml:space="preserve"> a lucrătorilor defavorizați</w:t>
            </w:r>
          </w:p>
        </w:tc>
        <w:tc>
          <w:tcPr>
            <w:tcW w:w="1693" w:type="pct"/>
          </w:tcPr>
          <w:p w14:paraId="2C8E42BC" w14:textId="77777777" w:rsidR="007120A9" w:rsidRPr="002066F5" w:rsidRDefault="007120A9" w:rsidP="0098548C">
            <w:pPr>
              <w:spacing w:line="276" w:lineRule="auto"/>
              <w:jc w:val="both"/>
              <w:rPr>
                <w:b/>
              </w:rPr>
            </w:pPr>
          </w:p>
        </w:tc>
      </w:tr>
      <w:tr w:rsidR="002066F5" w:rsidRPr="002066F5" w14:paraId="4ED049BD" w14:textId="77777777" w:rsidTr="00AC4674">
        <w:tc>
          <w:tcPr>
            <w:tcW w:w="5000" w:type="pct"/>
            <w:gridSpan w:val="3"/>
          </w:tcPr>
          <w:p w14:paraId="4FB3971C" w14:textId="77777777" w:rsidR="00740232" w:rsidRPr="006446F1" w:rsidRDefault="00740232" w:rsidP="00740232">
            <w:pPr>
              <w:spacing w:after="200" w:line="276" w:lineRule="auto"/>
              <w:jc w:val="both"/>
              <w:rPr>
                <w:color w:val="FF0000"/>
                <w:sz w:val="23"/>
                <w:szCs w:val="23"/>
              </w:rPr>
            </w:pPr>
            <w:r w:rsidRPr="006446F1">
              <w:rPr>
                <w:color w:val="FF0000"/>
                <w:sz w:val="23"/>
                <w:szCs w:val="23"/>
              </w:rPr>
              <w:t xml:space="preserve">PNRR va asigura un cadru legal coerent și articulat în domeniul economiei sociale, astfel încât structurile </w:t>
            </w:r>
            <w:proofErr w:type="spellStart"/>
            <w:r w:rsidRPr="006446F1">
              <w:rPr>
                <w:color w:val="FF0000"/>
                <w:sz w:val="23"/>
                <w:szCs w:val="23"/>
              </w:rPr>
              <w:t>colaborative</w:t>
            </w:r>
            <w:proofErr w:type="spellEnd"/>
            <w:r w:rsidRPr="006446F1">
              <w:rPr>
                <w:color w:val="FF0000"/>
                <w:sz w:val="23"/>
                <w:szCs w:val="23"/>
              </w:rPr>
              <w:t xml:space="preserve"> propuse prin POEO pentru promovarea </w:t>
            </w:r>
            <w:proofErr w:type="spellStart"/>
            <w:r w:rsidRPr="006446F1">
              <w:rPr>
                <w:color w:val="FF0000"/>
                <w:sz w:val="23"/>
                <w:szCs w:val="23"/>
              </w:rPr>
              <w:t>antreprenoriatului</w:t>
            </w:r>
            <w:proofErr w:type="spellEnd"/>
            <w:r w:rsidRPr="006446F1">
              <w:rPr>
                <w:color w:val="FF0000"/>
                <w:sz w:val="23"/>
                <w:szCs w:val="23"/>
              </w:rPr>
              <w:t xml:space="preserve"> social să poată obține rezultate benefice pentru sector.</w:t>
            </w:r>
          </w:p>
          <w:p w14:paraId="37B8FD0A" w14:textId="20B2AFCA" w:rsidR="00AC4674" w:rsidRPr="002066F5" w:rsidRDefault="00740232" w:rsidP="00740232">
            <w:pPr>
              <w:spacing w:after="200" w:line="276" w:lineRule="auto"/>
              <w:jc w:val="both"/>
              <w:rPr>
                <w:sz w:val="23"/>
                <w:szCs w:val="23"/>
              </w:rPr>
            </w:pPr>
            <w:r w:rsidRPr="006446F1">
              <w:rPr>
                <w:color w:val="FF0000"/>
                <w:sz w:val="23"/>
                <w:szCs w:val="23"/>
              </w:rPr>
              <w:t xml:space="preserve">De asemenea, schemele de granturi pentru înființarea întreprinderilor sociale vor fi orientate exclusiv către zona rurală, economia verde și scalarea întreprinderilor sociale de succes, în timp ce la nivelul POEO intervenția este orizontală și vizează inclusiv sprijinirea întreprinderi sociale de inserție pentru inserția </w:t>
            </w:r>
            <w:proofErr w:type="spellStart"/>
            <w:r w:rsidRPr="006446F1">
              <w:rPr>
                <w:color w:val="FF0000"/>
                <w:sz w:val="23"/>
                <w:szCs w:val="23"/>
              </w:rPr>
              <w:t>socio</w:t>
            </w:r>
            <w:proofErr w:type="spellEnd"/>
            <w:r w:rsidRPr="006446F1">
              <w:rPr>
                <w:color w:val="FF0000"/>
                <w:sz w:val="23"/>
                <w:szCs w:val="23"/>
              </w:rPr>
              <w:t>-profesional</w:t>
            </w:r>
            <w:r w:rsidR="00E4467A">
              <w:rPr>
                <w:color w:val="FF0000"/>
                <w:sz w:val="23"/>
                <w:szCs w:val="23"/>
              </w:rPr>
              <w:t>ă</w:t>
            </w:r>
            <w:r w:rsidRPr="006446F1">
              <w:rPr>
                <w:color w:val="FF0000"/>
                <w:sz w:val="23"/>
                <w:szCs w:val="23"/>
              </w:rPr>
              <w:t xml:space="preserve"> a lucrătorilor defavorizați.</w:t>
            </w:r>
          </w:p>
        </w:tc>
      </w:tr>
    </w:tbl>
    <w:p w14:paraId="27A9C116" w14:textId="77777777" w:rsidR="00663A55" w:rsidRPr="002066F5" w:rsidRDefault="00663A55" w:rsidP="0098548C">
      <w:pPr>
        <w:spacing w:after="0"/>
        <w:jc w:val="both"/>
      </w:pPr>
    </w:p>
    <w:sectPr w:rsidR="00663A55" w:rsidRPr="002066F5" w:rsidSect="007F17EF">
      <w:footerReference w:type="default" r:id="rId8"/>
      <w:pgSz w:w="16838" w:h="11906" w:orient="landscape"/>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C55A" w14:textId="77777777" w:rsidR="00EA6A39" w:rsidRDefault="00EA6A39" w:rsidP="001C2297">
      <w:pPr>
        <w:spacing w:after="0" w:line="240" w:lineRule="auto"/>
      </w:pPr>
      <w:r>
        <w:separator/>
      </w:r>
    </w:p>
  </w:endnote>
  <w:endnote w:type="continuationSeparator" w:id="0">
    <w:p w14:paraId="27149BA7" w14:textId="77777777" w:rsidR="00EA6A39" w:rsidRDefault="00EA6A39" w:rsidP="001C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79100"/>
      <w:docPartObj>
        <w:docPartGallery w:val="Page Numbers (Bottom of Page)"/>
        <w:docPartUnique/>
      </w:docPartObj>
    </w:sdtPr>
    <w:sdtEndPr>
      <w:rPr>
        <w:noProof/>
      </w:rPr>
    </w:sdtEndPr>
    <w:sdtContent>
      <w:p w14:paraId="30742310" w14:textId="77777777" w:rsidR="001C2297" w:rsidRDefault="001C2297">
        <w:pPr>
          <w:pStyle w:val="Footer"/>
          <w:jc w:val="right"/>
        </w:pPr>
        <w:r>
          <w:fldChar w:fldCharType="begin"/>
        </w:r>
        <w:r>
          <w:instrText xml:space="preserve"> PAGE   \* MERGEFORMAT </w:instrText>
        </w:r>
        <w:r>
          <w:fldChar w:fldCharType="separate"/>
        </w:r>
        <w:r w:rsidR="007D6F9F">
          <w:rPr>
            <w:noProof/>
          </w:rPr>
          <w:t>2</w:t>
        </w:r>
        <w:r>
          <w:rPr>
            <w:noProof/>
          </w:rPr>
          <w:fldChar w:fldCharType="end"/>
        </w:r>
      </w:p>
    </w:sdtContent>
  </w:sdt>
  <w:p w14:paraId="7271E99C" w14:textId="77777777" w:rsidR="001C2297" w:rsidRDefault="001C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4BE9" w14:textId="77777777" w:rsidR="00EA6A39" w:rsidRDefault="00EA6A39" w:rsidP="001C2297">
      <w:pPr>
        <w:spacing w:after="0" w:line="240" w:lineRule="auto"/>
      </w:pPr>
      <w:r>
        <w:separator/>
      </w:r>
    </w:p>
  </w:footnote>
  <w:footnote w:type="continuationSeparator" w:id="0">
    <w:p w14:paraId="25AA6E34" w14:textId="77777777" w:rsidR="00EA6A39" w:rsidRDefault="00EA6A39" w:rsidP="001C2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AAC"/>
    <w:multiLevelType w:val="hybridMultilevel"/>
    <w:tmpl w:val="A06CFD92"/>
    <w:lvl w:ilvl="0" w:tplc="6F5825E0">
      <w:start w:val="1"/>
      <w:numFmt w:val="bullet"/>
      <w:lvlText w:val=""/>
      <w:lvlJc w:val="left"/>
      <w:pPr>
        <w:tabs>
          <w:tab w:val="num" w:pos="720"/>
        </w:tabs>
        <w:ind w:left="720" w:hanging="360"/>
      </w:pPr>
      <w:rPr>
        <w:rFonts w:ascii="Wingdings" w:hAnsi="Wingdings" w:hint="default"/>
      </w:rPr>
    </w:lvl>
    <w:lvl w:ilvl="1" w:tplc="798A363E" w:tentative="1">
      <w:start w:val="1"/>
      <w:numFmt w:val="bullet"/>
      <w:lvlText w:val=""/>
      <w:lvlJc w:val="left"/>
      <w:pPr>
        <w:tabs>
          <w:tab w:val="num" w:pos="1440"/>
        </w:tabs>
        <w:ind w:left="1440" w:hanging="360"/>
      </w:pPr>
      <w:rPr>
        <w:rFonts w:ascii="Wingdings" w:hAnsi="Wingdings" w:hint="default"/>
      </w:rPr>
    </w:lvl>
    <w:lvl w:ilvl="2" w:tplc="6FAEC7AC">
      <w:start w:val="1"/>
      <w:numFmt w:val="bullet"/>
      <w:lvlText w:val=""/>
      <w:lvlJc w:val="left"/>
      <w:pPr>
        <w:tabs>
          <w:tab w:val="num" w:pos="2160"/>
        </w:tabs>
        <w:ind w:left="2160" w:hanging="360"/>
      </w:pPr>
      <w:rPr>
        <w:rFonts w:ascii="Wingdings" w:hAnsi="Wingdings" w:hint="default"/>
      </w:rPr>
    </w:lvl>
    <w:lvl w:ilvl="3" w:tplc="85CC87A0" w:tentative="1">
      <w:start w:val="1"/>
      <w:numFmt w:val="bullet"/>
      <w:lvlText w:val=""/>
      <w:lvlJc w:val="left"/>
      <w:pPr>
        <w:tabs>
          <w:tab w:val="num" w:pos="2880"/>
        </w:tabs>
        <w:ind w:left="2880" w:hanging="360"/>
      </w:pPr>
      <w:rPr>
        <w:rFonts w:ascii="Wingdings" w:hAnsi="Wingdings" w:hint="default"/>
      </w:rPr>
    </w:lvl>
    <w:lvl w:ilvl="4" w:tplc="93B2B3B2" w:tentative="1">
      <w:start w:val="1"/>
      <w:numFmt w:val="bullet"/>
      <w:lvlText w:val=""/>
      <w:lvlJc w:val="left"/>
      <w:pPr>
        <w:tabs>
          <w:tab w:val="num" w:pos="3600"/>
        </w:tabs>
        <w:ind w:left="3600" w:hanging="360"/>
      </w:pPr>
      <w:rPr>
        <w:rFonts w:ascii="Wingdings" w:hAnsi="Wingdings" w:hint="default"/>
      </w:rPr>
    </w:lvl>
    <w:lvl w:ilvl="5" w:tplc="316AF74A" w:tentative="1">
      <w:start w:val="1"/>
      <w:numFmt w:val="bullet"/>
      <w:lvlText w:val=""/>
      <w:lvlJc w:val="left"/>
      <w:pPr>
        <w:tabs>
          <w:tab w:val="num" w:pos="4320"/>
        </w:tabs>
        <w:ind w:left="4320" w:hanging="360"/>
      </w:pPr>
      <w:rPr>
        <w:rFonts w:ascii="Wingdings" w:hAnsi="Wingdings" w:hint="default"/>
      </w:rPr>
    </w:lvl>
    <w:lvl w:ilvl="6" w:tplc="8D3CDB34" w:tentative="1">
      <w:start w:val="1"/>
      <w:numFmt w:val="bullet"/>
      <w:lvlText w:val=""/>
      <w:lvlJc w:val="left"/>
      <w:pPr>
        <w:tabs>
          <w:tab w:val="num" w:pos="5040"/>
        </w:tabs>
        <w:ind w:left="5040" w:hanging="360"/>
      </w:pPr>
      <w:rPr>
        <w:rFonts w:ascii="Wingdings" w:hAnsi="Wingdings" w:hint="default"/>
      </w:rPr>
    </w:lvl>
    <w:lvl w:ilvl="7" w:tplc="D75C7502" w:tentative="1">
      <w:start w:val="1"/>
      <w:numFmt w:val="bullet"/>
      <w:lvlText w:val=""/>
      <w:lvlJc w:val="left"/>
      <w:pPr>
        <w:tabs>
          <w:tab w:val="num" w:pos="5760"/>
        </w:tabs>
        <w:ind w:left="5760" w:hanging="360"/>
      </w:pPr>
      <w:rPr>
        <w:rFonts w:ascii="Wingdings" w:hAnsi="Wingdings" w:hint="default"/>
      </w:rPr>
    </w:lvl>
    <w:lvl w:ilvl="8" w:tplc="3C4475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C6535"/>
    <w:multiLevelType w:val="multilevel"/>
    <w:tmpl w:val="CD2C909A"/>
    <w:lvl w:ilvl="0">
      <w:start w:val="1"/>
      <w:numFmt w:val="bullet"/>
      <w:lvlText w:val=""/>
      <w:lvlJc w:val="left"/>
      <w:pPr>
        <w:tabs>
          <w:tab w:val="num" w:pos="-198"/>
        </w:tabs>
        <w:ind w:left="-198" w:hanging="360"/>
      </w:pPr>
      <w:rPr>
        <w:rFonts w:ascii="Symbol" w:hAnsi="Symbol" w:hint="default"/>
        <w:b/>
        <w:i w:val="0"/>
        <w:color w:val="4F81BD" w:themeColor="accent1"/>
        <w:sz w:val="20"/>
      </w:rPr>
    </w:lvl>
    <w:lvl w:ilvl="1">
      <w:start w:val="1"/>
      <w:numFmt w:val="bullet"/>
      <w:lvlText w:val="o"/>
      <w:lvlJc w:val="left"/>
      <w:pPr>
        <w:tabs>
          <w:tab w:val="num" w:pos="522"/>
        </w:tabs>
        <w:ind w:left="522" w:hanging="360"/>
      </w:pPr>
      <w:rPr>
        <w:rFonts w:ascii="Courier New" w:hAnsi="Courier New" w:hint="default"/>
        <w:sz w:val="20"/>
      </w:rPr>
    </w:lvl>
    <w:lvl w:ilvl="2">
      <w:start w:val="1"/>
      <w:numFmt w:val="bullet"/>
      <w:lvlText w:val=""/>
      <w:lvlJc w:val="left"/>
      <w:pPr>
        <w:tabs>
          <w:tab w:val="num" w:pos="1242"/>
        </w:tabs>
        <w:ind w:left="1242" w:hanging="360"/>
      </w:pPr>
      <w:rPr>
        <w:rFonts w:ascii="Wingdings" w:hAnsi="Wingdings" w:hint="default"/>
        <w:sz w:val="20"/>
      </w:rPr>
    </w:lvl>
    <w:lvl w:ilvl="3" w:tentative="1">
      <w:start w:val="1"/>
      <w:numFmt w:val="bullet"/>
      <w:lvlText w:val=""/>
      <w:lvlJc w:val="left"/>
      <w:pPr>
        <w:tabs>
          <w:tab w:val="num" w:pos="1962"/>
        </w:tabs>
        <w:ind w:left="1962" w:hanging="360"/>
      </w:pPr>
      <w:rPr>
        <w:rFonts w:ascii="Wingdings" w:hAnsi="Wingdings" w:hint="default"/>
        <w:sz w:val="20"/>
      </w:rPr>
    </w:lvl>
    <w:lvl w:ilvl="4" w:tentative="1">
      <w:start w:val="1"/>
      <w:numFmt w:val="bullet"/>
      <w:lvlText w:val=""/>
      <w:lvlJc w:val="left"/>
      <w:pPr>
        <w:tabs>
          <w:tab w:val="num" w:pos="2682"/>
        </w:tabs>
        <w:ind w:left="2682" w:hanging="360"/>
      </w:pPr>
      <w:rPr>
        <w:rFonts w:ascii="Wingdings" w:hAnsi="Wingdings" w:hint="default"/>
        <w:sz w:val="20"/>
      </w:rPr>
    </w:lvl>
    <w:lvl w:ilvl="5" w:tentative="1">
      <w:start w:val="1"/>
      <w:numFmt w:val="bullet"/>
      <w:lvlText w:val=""/>
      <w:lvlJc w:val="left"/>
      <w:pPr>
        <w:tabs>
          <w:tab w:val="num" w:pos="3402"/>
        </w:tabs>
        <w:ind w:left="3402" w:hanging="360"/>
      </w:pPr>
      <w:rPr>
        <w:rFonts w:ascii="Wingdings" w:hAnsi="Wingdings" w:hint="default"/>
        <w:sz w:val="20"/>
      </w:rPr>
    </w:lvl>
    <w:lvl w:ilvl="6" w:tentative="1">
      <w:start w:val="1"/>
      <w:numFmt w:val="bullet"/>
      <w:lvlText w:val=""/>
      <w:lvlJc w:val="left"/>
      <w:pPr>
        <w:tabs>
          <w:tab w:val="num" w:pos="4122"/>
        </w:tabs>
        <w:ind w:left="4122" w:hanging="360"/>
      </w:pPr>
      <w:rPr>
        <w:rFonts w:ascii="Wingdings" w:hAnsi="Wingdings" w:hint="default"/>
        <w:sz w:val="20"/>
      </w:rPr>
    </w:lvl>
    <w:lvl w:ilvl="7" w:tentative="1">
      <w:start w:val="1"/>
      <w:numFmt w:val="bullet"/>
      <w:lvlText w:val=""/>
      <w:lvlJc w:val="left"/>
      <w:pPr>
        <w:tabs>
          <w:tab w:val="num" w:pos="4842"/>
        </w:tabs>
        <w:ind w:left="4842" w:hanging="360"/>
      </w:pPr>
      <w:rPr>
        <w:rFonts w:ascii="Wingdings" w:hAnsi="Wingdings" w:hint="default"/>
        <w:sz w:val="20"/>
      </w:rPr>
    </w:lvl>
    <w:lvl w:ilvl="8" w:tentative="1">
      <w:start w:val="1"/>
      <w:numFmt w:val="bullet"/>
      <w:lvlText w:val=""/>
      <w:lvlJc w:val="left"/>
      <w:pPr>
        <w:tabs>
          <w:tab w:val="num" w:pos="5562"/>
        </w:tabs>
        <w:ind w:left="5562" w:hanging="360"/>
      </w:pPr>
      <w:rPr>
        <w:rFonts w:ascii="Wingdings" w:hAnsi="Wingdings" w:hint="default"/>
        <w:sz w:val="20"/>
      </w:rPr>
    </w:lvl>
  </w:abstractNum>
  <w:abstractNum w:abstractNumId="2" w15:restartNumberingAfterBreak="0">
    <w:nsid w:val="27191FA3"/>
    <w:multiLevelType w:val="hybridMultilevel"/>
    <w:tmpl w:val="AAAC20E6"/>
    <w:lvl w:ilvl="0" w:tplc="7E6C8216">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0777363"/>
    <w:multiLevelType w:val="hybridMultilevel"/>
    <w:tmpl w:val="EE107F7E"/>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07C1E"/>
    <w:multiLevelType w:val="hybridMultilevel"/>
    <w:tmpl w:val="B33E0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F2A39"/>
    <w:multiLevelType w:val="hybridMultilevel"/>
    <w:tmpl w:val="F224D1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9BD3928"/>
    <w:multiLevelType w:val="hybridMultilevel"/>
    <w:tmpl w:val="873A674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F0CED"/>
    <w:multiLevelType w:val="hybridMultilevel"/>
    <w:tmpl w:val="0A7A6C70"/>
    <w:lvl w:ilvl="0" w:tplc="0418000B">
      <w:start w:val="1"/>
      <w:numFmt w:val="bullet"/>
      <w:lvlText w:val=""/>
      <w:lvlJc w:val="left"/>
      <w:pPr>
        <w:ind w:left="2121" w:hanging="705"/>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3FF279D2"/>
    <w:multiLevelType w:val="hybridMultilevel"/>
    <w:tmpl w:val="82B82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32A02"/>
    <w:multiLevelType w:val="hybridMultilevel"/>
    <w:tmpl w:val="8D1859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B02E34"/>
    <w:multiLevelType w:val="hybridMultilevel"/>
    <w:tmpl w:val="26EEBD60"/>
    <w:lvl w:ilvl="0" w:tplc="87B47A5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83AF5"/>
    <w:multiLevelType w:val="hybridMultilevel"/>
    <w:tmpl w:val="00DC332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16ADA"/>
    <w:multiLevelType w:val="hybridMultilevel"/>
    <w:tmpl w:val="0E0090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37163C"/>
    <w:multiLevelType w:val="hybridMultilevel"/>
    <w:tmpl w:val="65DE83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DDD59B0"/>
    <w:multiLevelType w:val="hybridMultilevel"/>
    <w:tmpl w:val="E188E1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465614A"/>
    <w:multiLevelType w:val="hybridMultilevel"/>
    <w:tmpl w:val="00E6CC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F5DC6"/>
    <w:multiLevelType w:val="hybridMultilevel"/>
    <w:tmpl w:val="03FE8F2E"/>
    <w:lvl w:ilvl="0" w:tplc="5380CAE4">
      <w:start w:val="1"/>
      <w:numFmt w:val="bullet"/>
      <w:lvlText w:val="•"/>
      <w:lvlJc w:val="left"/>
      <w:pPr>
        <w:tabs>
          <w:tab w:val="num" w:pos="720"/>
        </w:tabs>
        <w:ind w:left="720" w:hanging="360"/>
      </w:pPr>
      <w:rPr>
        <w:rFonts w:asciiTheme="minorHAnsi" w:hAnsiTheme="minorHAnsi" w:cstheme="minorHAnsi" w:hint="default"/>
      </w:rPr>
    </w:lvl>
    <w:lvl w:ilvl="1" w:tplc="ABEE3F94">
      <w:start w:val="1"/>
      <w:numFmt w:val="bullet"/>
      <w:lvlText w:val="•"/>
      <w:lvlJc w:val="left"/>
      <w:pPr>
        <w:tabs>
          <w:tab w:val="num" w:pos="1440"/>
        </w:tabs>
        <w:ind w:left="1440" w:hanging="360"/>
      </w:pPr>
      <w:rPr>
        <w:rFonts w:ascii="Times New Roman" w:hAnsi="Times New Roman" w:hint="default"/>
      </w:rPr>
    </w:lvl>
    <w:lvl w:ilvl="2" w:tplc="8758B2CA" w:tentative="1">
      <w:start w:val="1"/>
      <w:numFmt w:val="bullet"/>
      <w:lvlText w:val="•"/>
      <w:lvlJc w:val="left"/>
      <w:pPr>
        <w:tabs>
          <w:tab w:val="num" w:pos="2160"/>
        </w:tabs>
        <w:ind w:left="2160" w:hanging="360"/>
      </w:pPr>
      <w:rPr>
        <w:rFonts w:ascii="Times New Roman" w:hAnsi="Times New Roman" w:hint="default"/>
      </w:rPr>
    </w:lvl>
    <w:lvl w:ilvl="3" w:tplc="A1C45E98" w:tentative="1">
      <w:start w:val="1"/>
      <w:numFmt w:val="bullet"/>
      <w:lvlText w:val="•"/>
      <w:lvlJc w:val="left"/>
      <w:pPr>
        <w:tabs>
          <w:tab w:val="num" w:pos="2880"/>
        </w:tabs>
        <w:ind w:left="2880" w:hanging="360"/>
      </w:pPr>
      <w:rPr>
        <w:rFonts w:ascii="Times New Roman" w:hAnsi="Times New Roman" w:hint="default"/>
      </w:rPr>
    </w:lvl>
    <w:lvl w:ilvl="4" w:tplc="54469114" w:tentative="1">
      <w:start w:val="1"/>
      <w:numFmt w:val="bullet"/>
      <w:lvlText w:val="•"/>
      <w:lvlJc w:val="left"/>
      <w:pPr>
        <w:tabs>
          <w:tab w:val="num" w:pos="3600"/>
        </w:tabs>
        <w:ind w:left="3600" w:hanging="360"/>
      </w:pPr>
      <w:rPr>
        <w:rFonts w:ascii="Times New Roman" w:hAnsi="Times New Roman" w:hint="default"/>
      </w:rPr>
    </w:lvl>
    <w:lvl w:ilvl="5" w:tplc="39921C24" w:tentative="1">
      <w:start w:val="1"/>
      <w:numFmt w:val="bullet"/>
      <w:lvlText w:val="•"/>
      <w:lvlJc w:val="left"/>
      <w:pPr>
        <w:tabs>
          <w:tab w:val="num" w:pos="4320"/>
        </w:tabs>
        <w:ind w:left="4320" w:hanging="360"/>
      </w:pPr>
      <w:rPr>
        <w:rFonts w:ascii="Times New Roman" w:hAnsi="Times New Roman" w:hint="default"/>
      </w:rPr>
    </w:lvl>
    <w:lvl w:ilvl="6" w:tplc="F7622D94" w:tentative="1">
      <w:start w:val="1"/>
      <w:numFmt w:val="bullet"/>
      <w:lvlText w:val="•"/>
      <w:lvlJc w:val="left"/>
      <w:pPr>
        <w:tabs>
          <w:tab w:val="num" w:pos="5040"/>
        </w:tabs>
        <w:ind w:left="5040" w:hanging="360"/>
      </w:pPr>
      <w:rPr>
        <w:rFonts w:ascii="Times New Roman" w:hAnsi="Times New Roman" w:hint="default"/>
      </w:rPr>
    </w:lvl>
    <w:lvl w:ilvl="7" w:tplc="1736DD20" w:tentative="1">
      <w:start w:val="1"/>
      <w:numFmt w:val="bullet"/>
      <w:lvlText w:val="•"/>
      <w:lvlJc w:val="left"/>
      <w:pPr>
        <w:tabs>
          <w:tab w:val="num" w:pos="5760"/>
        </w:tabs>
        <w:ind w:left="5760" w:hanging="360"/>
      </w:pPr>
      <w:rPr>
        <w:rFonts w:ascii="Times New Roman" w:hAnsi="Times New Roman" w:hint="default"/>
      </w:rPr>
    </w:lvl>
    <w:lvl w:ilvl="8" w:tplc="D2D241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BA76024"/>
    <w:multiLevelType w:val="hybridMultilevel"/>
    <w:tmpl w:val="6C32557A"/>
    <w:lvl w:ilvl="0" w:tplc="3134F772">
      <w:numFmt w:val="bullet"/>
      <w:lvlText w:val="-"/>
      <w:lvlJc w:val="left"/>
      <w:pPr>
        <w:ind w:left="644" w:hanging="360"/>
      </w:pPr>
      <w:rPr>
        <w:rFonts w:ascii="Calibri" w:eastAsiaTheme="minorHAnsi" w:hAnsi="Calibri" w:cs="Calibri" w:hint="default"/>
        <w:color w:val="auto"/>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8" w15:restartNumberingAfterBreak="0">
    <w:nsid w:val="60CF2C5E"/>
    <w:multiLevelType w:val="hybridMultilevel"/>
    <w:tmpl w:val="12BAB57C"/>
    <w:lvl w:ilvl="0" w:tplc="A34418A0">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8BD59F9"/>
    <w:multiLevelType w:val="hybridMultilevel"/>
    <w:tmpl w:val="FD903B5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6E6432"/>
    <w:multiLevelType w:val="hybridMultilevel"/>
    <w:tmpl w:val="C41E27EA"/>
    <w:lvl w:ilvl="0" w:tplc="33103A30">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A396705"/>
    <w:multiLevelType w:val="multilevel"/>
    <w:tmpl w:val="CD2C909A"/>
    <w:lvl w:ilvl="0">
      <w:start w:val="1"/>
      <w:numFmt w:val="bullet"/>
      <w:lvlText w:val=""/>
      <w:lvlJc w:val="left"/>
      <w:pPr>
        <w:tabs>
          <w:tab w:val="num" w:pos="807"/>
        </w:tabs>
        <w:ind w:left="807" w:hanging="360"/>
      </w:pPr>
      <w:rPr>
        <w:rFonts w:ascii="Symbol" w:hAnsi="Symbol" w:hint="default"/>
        <w:b/>
        <w:i w:val="0"/>
        <w:color w:val="4F81BD" w:themeColor="accent1"/>
        <w:sz w:val="20"/>
      </w:rPr>
    </w:lvl>
    <w:lvl w:ilvl="1">
      <w:start w:val="1"/>
      <w:numFmt w:val="bullet"/>
      <w:lvlText w:val="o"/>
      <w:lvlJc w:val="left"/>
      <w:pPr>
        <w:tabs>
          <w:tab w:val="num" w:pos="1527"/>
        </w:tabs>
        <w:ind w:left="1527" w:hanging="360"/>
      </w:pPr>
      <w:rPr>
        <w:rFonts w:ascii="Courier New" w:hAnsi="Courier New" w:hint="default"/>
        <w:sz w:val="20"/>
      </w:rPr>
    </w:lvl>
    <w:lvl w:ilvl="2">
      <w:start w:val="1"/>
      <w:numFmt w:val="bullet"/>
      <w:lvlText w:val=""/>
      <w:lvlJc w:val="left"/>
      <w:pPr>
        <w:tabs>
          <w:tab w:val="num" w:pos="2247"/>
        </w:tabs>
        <w:ind w:left="2247" w:hanging="360"/>
      </w:pPr>
      <w:rPr>
        <w:rFonts w:ascii="Wingdings" w:hAnsi="Wingdings" w:hint="default"/>
        <w:sz w:val="20"/>
      </w:rPr>
    </w:lvl>
    <w:lvl w:ilvl="3" w:tentative="1">
      <w:start w:val="1"/>
      <w:numFmt w:val="bullet"/>
      <w:lvlText w:val=""/>
      <w:lvlJc w:val="left"/>
      <w:pPr>
        <w:tabs>
          <w:tab w:val="num" w:pos="2967"/>
        </w:tabs>
        <w:ind w:left="2967" w:hanging="360"/>
      </w:pPr>
      <w:rPr>
        <w:rFonts w:ascii="Wingdings" w:hAnsi="Wingdings" w:hint="default"/>
        <w:sz w:val="20"/>
      </w:rPr>
    </w:lvl>
    <w:lvl w:ilvl="4" w:tentative="1">
      <w:start w:val="1"/>
      <w:numFmt w:val="bullet"/>
      <w:lvlText w:val=""/>
      <w:lvlJc w:val="left"/>
      <w:pPr>
        <w:tabs>
          <w:tab w:val="num" w:pos="3687"/>
        </w:tabs>
        <w:ind w:left="3687" w:hanging="360"/>
      </w:pPr>
      <w:rPr>
        <w:rFonts w:ascii="Wingdings" w:hAnsi="Wingdings" w:hint="default"/>
        <w:sz w:val="20"/>
      </w:rPr>
    </w:lvl>
    <w:lvl w:ilvl="5" w:tentative="1">
      <w:start w:val="1"/>
      <w:numFmt w:val="bullet"/>
      <w:lvlText w:val=""/>
      <w:lvlJc w:val="left"/>
      <w:pPr>
        <w:tabs>
          <w:tab w:val="num" w:pos="4407"/>
        </w:tabs>
        <w:ind w:left="4407" w:hanging="360"/>
      </w:pPr>
      <w:rPr>
        <w:rFonts w:ascii="Wingdings" w:hAnsi="Wingdings" w:hint="default"/>
        <w:sz w:val="20"/>
      </w:rPr>
    </w:lvl>
    <w:lvl w:ilvl="6" w:tentative="1">
      <w:start w:val="1"/>
      <w:numFmt w:val="bullet"/>
      <w:lvlText w:val=""/>
      <w:lvlJc w:val="left"/>
      <w:pPr>
        <w:tabs>
          <w:tab w:val="num" w:pos="5127"/>
        </w:tabs>
        <w:ind w:left="5127" w:hanging="360"/>
      </w:pPr>
      <w:rPr>
        <w:rFonts w:ascii="Wingdings" w:hAnsi="Wingdings" w:hint="default"/>
        <w:sz w:val="20"/>
      </w:rPr>
    </w:lvl>
    <w:lvl w:ilvl="7" w:tentative="1">
      <w:start w:val="1"/>
      <w:numFmt w:val="bullet"/>
      <w:lvlText w:val=""/>
      <w:lvlJc w:val="left"/>
      <w:pPr>
        <w:tabs>
          <w:tab w:val="num" w:pos="5847"/>
        </w:tabs>
        <w:ind w:left="5847" w:hanging="360"/>
      </w:pPr>
      <w:rPr>
        <w:rFonts w:ascii="Wingdings" w:hAnsi="Wingdings" w:hint="default"/>
        <w:sz w:val="20"/>
      </w:rPr>
    </w:lvl>
    <w:lvl w:ilvl="8" w:tentative="1">
      <w:start w:val="1"/>
      <w:numFmt w:val="bullet"/>
      <w:lvlText w:val=""/>
      <w:lvlJc w:val="left"/>
      <w:pPr>
        <w:tabs>
          <w:tab w:val="num" w:pos="6567"/>
        </w:tabs>
        <w:ind w:left="6567" w:hanging="360"/>
      </w:pPr>
      <w:rPr>
        <w:rFonts w:ascii="Wingdings" w:hAnsi="Wingdings" w:hint="default"/>
        <w:sz w:val="20"/>
      </w:rPr>
    </w:lvl>
  </w:abstractNum>
  <w:abstractNum w:abstractNumId="22" w15:restartNumberingAfterBreak="0">
    <w:nsid w:val="6C512972"/>
    <w:multiLevelType w:val="hybridMultilevel"/>
    <w:tmpl w:val="6EAEA1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C8D2A60"/>
    <w:multiLevelType w:val="hybridMultilevel"/>
    <w:tmpl w:val="EB2A55E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D40758E"/>
    <w:multiLevelType w:val="hybridMultilevel"/>
    <w:tmpl w:val="3536C26A"/>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5120DFE"/>
    <w:multiLevelType w:val="multilevel"/>
    <w:tmpl w:val="CD2C909A"/>
    <w:lvl w:ilvl="0">
      <w:start w:val="1"/>
      <w:numFmt w:val="bullet"/>
      <w:lvlText w:val=""/>
      <w:lvlJc w:val="left"/>
      <w:pPr>
        <w:tabs>
          <w:tab w:val="num" w:pos="720"/>
        </w:tabs>
        <w:ind w:left="720" w:hanging="360"/>
      </w:pPr>
      <w:rPr>
        <w:rFonts w:ascii="Symbol" w:hAnsi="Symbol" w:hint="default"/>
        <w:b/>
        <w:i w:val="0"/>
        <w:color w:val="4F81BD" w:themeColor="accen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9C05A3"/>
    <w:multiLevelType w:val="hybridMultilevel"/>
    <w:tmpl w:val="E4DA2ED4"/>
    <w:lvl w:ilvl="0" w:tplc="DAA805A0">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5"/>
  </w:num>
  <w:num w:numId="4">
    <w:abstractNumId w:val="22"/>
  </w:num>
  <w:num w:numId="5">
    <w:abstractNumId w:val="23"/>
  </w:num>
  <w:num w:numId="6">
    <w:abstractNumId w:val="6"/>
  </w:num>
  <w:num w:numId="7">
    <w:abstractNumId w:val="10"/>
  </w:num>
  <w:num w:numId="8">
    <w:abstractNumId w:val="15"/>
  </w:num>
  <w:num w:numId="9">
    <w:abstractNumId w:val="0"/>
  </w:num>
  <w:num w:numId="10">
    <w:abstractNumId w:val="3"/>
  </w:num>
  <w:num w:numId="11">
    <w:abstractNumId w:val="8"/>
  </w:num>
  <w:num w:numId="12">
    <w:abstractNumId w:val="26"/>
  </w:num>
  <w:num w:numId="13">
    <w:abstractNumId w:val="19"/>
  </w:num>
  <w:num w:numId="14">
    <w:abstractNumId w:val="4"/>
  </w:num>
  <w:num w:numId="15">
    <w:abstractNumId w:val="11"/>
  </w:num>
  <w:num w:numId="16">
    <w:abstractNumId w:val="2"/>
  </w:num>
  <w:num w:numId="17">
    <w:abstractNumId w:val="17"/>
  </w:num>
  <w:num w:numId="18">
    <w:abstractNumId w:val="16"/>
  </w:num>
  <w:num w:numId="19">
    <w:abstractNumId w:val="12"/>
  </w:num>
  <w:num w:numId="20">
    <w:abstractNumId w:val="9"/>
  </w:num>
  <w:num w:numId="21">
    <w:abstractNumId w:val="24"/>
  </w:num>
  <w:num w:numId="22">
    <w:abstractNumId w:val="7"/>
  </w:num>
  <w:num w:numId="23">
    <w:abstractNumId w:val="13"/>
  </w:num>
  <w:num w:numId="24">
    <w:abstractNumId w:val="18"/>
  </w:num>
  <w:num w:numId="25">
    <w:abstractNumId w:val="14"/>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51"/>
    <w:rsid w:val="0000010E"/>
    <w:rsid w:val="00025D55"/>
    <w:rsid w:val="00064C1B"/>
    <w:rsid w:val="000817A8"/>
    <w:rsid w:val="00092C97"/>
    <w:rsid w:val="000E57C8"/>
    <w:rsid w:val="000F2090"/>
    <w:rsid w:val="000F7900"/>
    <w:rsid w:val="0010386E"/>
    <w:rsid w:val="00131BB9"/>
    <w:rsid w:val="001517BA"/>
    <w:rsid w:val="00153898"/>
    <w:rsid w:val="001610EC"/>
    <w:rsid w:val="00172C57"/>
    <w:rsid w:val="001A4FF5"/>
    <w:rsid w:val="001C2297"/>
    <w:rsid w:val="001D2664"/>
    <w:rsid w:val="0020577D"/>
    <w:rsid w:val="002066F5"/>
    <w:rsid w:val="00207418"/>
    <w:rsid w:val="00210E3E"/>
    <w:rsid w:val="00226B6D"/>
    <w:rsid w:val="002308D7"/>
    <w:rsid w:val="00244E41"/>
    <w:rsid w:val="002474BD"/>
    <w:rsid w:val="00270A0D"/>
    <w:rsid w:val="00271B83"/>
    <w:rsid w:val="002D0B53"/>
    <w:rsid w:val="002D4E33"/>
    <w:rsid w:val="00302793"/>
    <w:rsid w:val="003034ED"/>
    <w:rsid w:val="00343751"/>
    <w:rsid w:val="0035249B"/>
    <w:rsid w:val="00371391"/>
    <w:rsid w:val="0037165B"/>
    <w:rsid w:val="003C2FA4"/>
    <w:rsid w:val="003F3570"/>
    <w:rsid w:val="003F50EF"/>
    <w:rsid w:val="00410B81"/>
    <w:rsid w:val="004122AA"/>
    <w:rsid w:val="00412D60"/>
    <w:rsid w:val="00415FB3"/>
    <w:rsid w:val="00417BE7"/>
    <w:rsid w:val="0043463E"/>
    <w:rsid w:val="00466DC3"/>
    <w:rsid w:val="00477541"/>
    <w:rsid w:val="004877A6"/>
    <w:rsid w:val="004C3DD1"/>
    <w:rsid w:val="004C7C18"/>
    <w:rsid w:val="004E279D"/>
    <w:rsid w:val="004F01EC"/>
    <w:rsid w:val="004F3668"/>
    <w:rsid w:val="004F7747"/>
    <w:rsid w:val="00512378"/>
    <w:rsid w:val="00524471"/>
    <w:rsid w:val="00527C3B"/>
    <w:rsid w:val="00553BEE"/>
    <w:rsid w:val="00566B4F"/>
    <w:rsid w:val="00581DE4"/>
    <w:rsid w:val="005C2600"/>
    <w:rsid w:val="005F1FBA"/>
    <w:rsid w:val="0061248A"/>
    <w:rsid w:val="00623D32"/>
    <w:rsid w:val="0063232E"/>
    <w:rsid w:val="006446F1"/>
    <w:rsid w:val="006631BA"/>
    <w:rsid w:val="00663A55"/>
    <w:rsid w:val="00685321"/>
    <w:rsid w:val="006925FE"/>
    <w:rsid w:val="006A41ED"/>
    <w:rsid w:val="006D4C08"/>
    <w:rsid w:val="006D4E84"/>
    <w:rsid w:val="006F3BCE"/>
    <w:rsid w:val="00706022"/>
    <w:rsid w:val="00711CBD"/>
    <w:rsid w:val="007120A9"/>
    <w:rsid w:val="00721E42"/>
    <w:rsid w:val="007263BC"/>
    <w:rsid w:val="00730583"/>
    <w:rsid w:val="00730ACD"/>
    <w:rsid w:val="00736F00"/>
    <w:rsid w:val="00736F67"/>
    <w:rsid w:val="00740232"/>
    <w:rsid w:val="00746537"/>
    <w:rsid w:val="007851F3"/>
    <w:rsid w:val="007B26CB"/>
    <w:rsid w:val="007C631F"/>
    <w:rsid w:val="007D6F9F"/>
    <w:rsid w:val="007F17EF"/>
    <w:rsid w:val="00810290"/>
    <w:rsid w:val="00832BE5"/>
    <w:rsid w:val="008460D2"/>
    <w:rsid w:val="00876D99"/>
    <w:rsid w:val="00890A96"/>
    <w:rsid w:val="00897777"/>
    <w:rsid w:val="00897D9C"/>
    <w:rsid w:val="008B085A"/>
    <w:rsid w:val="008C592E"/>
    <w:rsid w:val="008E1E5D"/>
    <w:rsid w:val="008E51E0"/>
    <w:rsid w:val="00901BF9"/>
    <w:rsid w:val="00915554"/>
    <w:rsid w:val="009349CF"/>
    <w:rsid w:val="009364FE"/>
    <w:rsid w:val="00960C09"/>
    <w:rsid w:val="00961FBF"/>
    <w:rsid w:val="00970D75"/>
    <w:rsid w:val="0098548C"/>
    <w:rsid w:val="0098684F"/>
    <w:rsid w:val="009905DA"/>
    <w:rsid w:val="009A0E6B"/>
    <w:rsid w:val="009D0A8B"/>
    <w:rsid w:val="009D2209"/>
    <w:rsid w:val="00A01025"/>
    <w:rsid w:val="00A41F18"/>
    <w:rsid w:val="00A43B8C"/>
    <w:rsid w:val="00A52B44"/>
    <w:rsid w:val="00A609E4"/>
    <w:rsid w:val="00A76420"/>
    <w:rsid w:val="00A77E69"/>
    <w:rsid w:val="00A8159A"/>
    <w:rsid w:val="00A823DF"/>
    <w:rsid w:val="00A8736D"/>
    <w:rsid w:val="00AC4674"/>
    <w:rsid w:val="00AC6B73"/>
    <w:rsid w:val="00B04A68"/>
    <w:rsid w:val="00B3625E"/>
    <w:rsid w:val="00B41F5B"/>
    <w:rsid w:val="00B812E3"/>
    <w:rsid w:val="00B8315D"/>
    <w:rsid w:val="00B84400"/>
    <w:rsid w:val="00B848CC"/>
    <w:rsid w:val="00B86681"/>
    <w:rsid w:val="00BA2CA4"/>
    <w:rsid w:val="00BB0351"/>
    <w:rsid w:val="00BD084D"/>
    <w:rsid w:val="00BD0B6B"/>
    <w:rsid w:val="00BD460B"/>
    <w:rsid w:val="00BE1C70"/>
    <w:rsid w:val="00C06624"/>
    <w:rsid w:val="00C238FC"/>
    <w:rsid w:val="00C865F3"/>
    <w:rsid w:val="00C97346"/>
    <w:rsid w:val="00CF6B67"/>
    <w:rsid w:val="00D00A93"/>
    <w:rsid w:val="00D377F1"/>
    <w:rsid w:val="00D54F8D"/>
    <w:rsid w:val="00D55EB9"/>
    <w:rsid w:val="00D5727D"/>
    <w:rsid w:val="00D80B6F"/>
    <w:rsid w:val="00D950A0"/>
    <w:rsid w:val="00D95D55"/>
    <w:rsid w:val="00DA5353"/>
    <w:rsid w:val="00DB1826"/>
    <w:rsid w:val="00DB5E12"/>
    <w:rsid w:val="00DB60F8"/>
    <w:rsid w:val="00DF13A9"/>
    <w:rsid w:val="00DF3188"/>
    <w:rsid w:val="00DF7E80"/>
    <w:rsid w:val="00E0000E"/>
    <w:rsid w:val="00E1777E"/>
    <w:rsid w:val="00E20259"/>
    <w:rsid w:val="00E30025"/>
    <w:rsid w:val="00E42E3D"/>
    <w:rsid w:val="00E4467A"/>
    <w:rsid w:val="00E51B68"/>
    <w:rsid w:val="00E64CF2"/>
    <w:rsid w:val="00E738E5"/>
    <w:rsid w:val="00E84490"/>
    <w:rsid w:val="00EA6A39"/>
    <w:rsid w:val="00EB52A4"/>
    <w:rsid w:val="00ED4B4F"/>
    <w:rsid w:val="00ED58AD"/>
    <w:rsid w:val="00EE074E"/>
    <w:rsid w:val="00F05661"/>
    <w:rsid w:val="00F206E1"/>
    <w:rsid w:val="00F6514A"/>
    <w:rsid w:val="00F72196"/>
    <w:rsid w:val="00FB02D7"/>
    <w:rsid w:val="00FB5B38"/>
    <w:rsid w:val="00FB5D2E"/>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7BD5"/>
  <w15:docId w15:val="{4743E9AB-1321-4136-9DF8-1E3F9D55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42"/>
  </w:style>
  <w:style w:type="paragraph" w:styleId="Heading1">
    <w:name w:val="heading 1"/>
    <w:basedOn w:val="Normal"/>
    <w:next w:val="Normal"/>
    <w:link w:val="Heading1Char"/>
    <w:uiPriority w:val="9"/>
    <w:rsid w:val="0010386E"/>
    <w:pPr>
      <w:pBdr>
        <w:bottom w:val="single" w:sz="4" w:space="0" w:color="1F497D" w:themeColor="text2"/>
        <w:bar w:val="single" w:sz="4" w:color="auto"/>
      </w:pBdr>
      <w:spacing w:after="0" w:line="240" w:lineRule="auto"/>
      <w:jc w:val="center"/>
      <w:outlineLvl w:val="0"/>
    </w:pPr>
    <w:rPr>
      <w:rFonts w:ascii="Arial" w:eastAsia="Times New Roman" w:hAnsi="Arial" w:cs="Arial"/>
      <w:b/>
      <w:bCs/>
      <w:color w:val="244061" w:themeColor="accent1" w:themeShade="80"/>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a"/>
    <w:basedOn w:val="Normal"/>
    <w:link w:val="ListaChar"/>
    <w:qFormat/>
    <w:rsid w:val="00417BE7"/>
    <w:pPr>
      <w:spacing w:after="60" w:line="360" w:lineRule="auto"/>
      <w:jc w:val="both"/>
      <w:textAlignment w:val="baseline"/>
    </w:pPr>
    <w:rPr>
      <w:rFonts w:ascii="Arial" w:eastAsia="Times New Roman" w:hAnsi="Arial" w:cs="Arial"/>
      <w:color w:val="000000"/>
      <w:sz w:val="24"/>
      <w:szCs w:val="24"/>
      <w:lang w:val="en-GB" w:eastAsia="en-GB"/>
    </w:rPr>
  </w:style>
  <w:style w:type="character" w:customStyle="1" w:styleId="ListaChar">
    <w:name w:val="Lista Char"/>
    <w:basedOn w:val="DefaultParagraphFont"/>
    <w:link w:val="Lista"/>
    <w:rsid w:val="00417BE7"/>
    <w:rPr>
      <w:rFonts w:ascii="Arial" w:eastAsia="Times New Roman" w:hAnsi="Arial" w:cs="Arial"/>
      <w:color w:val="000000"/>
      <w:sz w:val="24"/>
      <w:szCs w:val="24"/>
      <w:lang w:val="en-GB" w:eastAsia="en-GB"/>
    </w:rPr>
  </w:style>
  <w:style w:type="character" w:customStyle="1" w:styleId="Heading1Char">
    <w:name w:val="Heading 1 Char"/>
    <w:basedOn w:val="DefaultParagraphFont"/>
    <w:link w:val="Heading1"/>
    <w:uiPriority w:val="9"/>
    <w:rsid w:val="0010386E"/>
    <w:rPr>
      <w:rFonts w:ascii="Arial" w:eastAsia="Times New Roman" w:hAnsi="Arial" w:cs="Arial"/>
      <w:b/>
      <w:bCs/>
      <w:color w:val="244061" w:themeColor="accent1" w:themeShade="80"/>
      <w:sz w:val="26"/>
      <w:szCs w:val="26"/>
      <w:lang w:val="en-GB" w:eastAsia="en-GB"/>
    </w:rPr>
  </w:style>
  <w:style w:type="paragraph" w:customStyle="1" w:styleId="TitluComponenta">
    <w:name w:val="Titlu Componenta"/>
    <w:link w:val="TitluComponentaChar"/>
    <w:qFormat/>
    <w:rsid w:val="0010386E"/>
    <w:pPr>
      <w:framePr w:hSpace="181" w:wrap="around" w:vAnchor="text" w:hAnchor="text" w:y="1"/>
      <w:spacing w:after="0" w:line="240" w:lineRule="auto"/>
      <w:suppressOverlap/>
    </w:pPr>
    <w:rPr>
      <w:rFonts w:ascii="Corbel" w:eastAsiaTheme="minorEastAsia" w:hAnsi="Corbel"/>
      <w:b/>
      <w:bCs/>
      <w:sz w:val="36"/>
      <w:szCs w:val="36"/>
      <w:lang w:val="en-GB"/>
    </w:rPr>
  </w:style>
  <w:style w:type="character" w:customStyle="1" w:styleId="TitluComponentaChar">
    <w:name w:val="Titlu Componenta Char"/>
    <w:basedOn w:val="DefaultParagraphFont"/>
    <w:link w:val="TitluComponenta"/>
    <w:rsid w:val="0010386E"/>
    <w:rPr>
      <w:rFonts w:ascii="Corbel" w:eastAsiaTheme="minorEastAsia" w:hAnsi="Corbel"/>
      <w:b/>
      <w:bCs/>
      <w:sz w:val="36"/>
      <w:szCs w:val="36"/>
      <w:lang w:val="en-GB"/>
    </w:rPr>
  </w:style>
  <w:style w:type="paragraph" w:styleId="Header">
    <w:name w:val="header"/>
    <w:basedOn w:val="Normal"/>
    <w:link w:val="HeaderChar"/>
    <w:uiPriority w:val="99"/>
    <w:unhideWhenUsed/>
    <w:rsid w:val="001C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2297"/>
  </w:style>
  <w:style w:type="paragraph" w:styleId="Footer">
    <w:name w:val="footer"/>
    <w:basedOn w:val="Normal"/>
    <w:link w:val="FooterChar"/>
    <w:uiPriority w:val="99"/>
    <w:unhideWhenUsed/>
    <w:rsid w:val="001C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2297"/>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BD460B"/>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9756">
      <w:bodyDiv w:val="1"/>
      <w:marLeft w:val="0"/>
      <w:marRight w:val="0"/>
      <w:marTop w:val="0"/>
      <w:marBottom w:val="0"/>
      <w:divBdr>
        <w:top w:val="none" w:sz="0" w:space="0" w:color="auto"/>
        <w:left w:val="none" w:sz="0" w:space="0" w:color="auto"/>
        <w:bottom w:val="none" w:sz="0" w:space="0" w:color="auto"/>
        <w:right w:val="none" w:sz="0" w:space="0" w:color="auto"/>
      </w:divBdr>
    </w:div>
    <w:div w:id="1095827800">
      <w:bodyDiv w:val="1"/>
      <w:marLeft w:val="0"/>
      <w:marRight w:val="0"/>
      <w:marTop w:val="0"/>
      <w:marBottom w:val="0"/>
      <w:divBdr>
        <w:top w:val="none" w:sz="0" w:space="0" w:color="auto"/>
        <w:left w:val="none" w:sz="0" w:space="0" w:color="auto"/>
        <w:bottom w:val="none" w:sz="0" w:space="0" w:color="auto"/>
        <w:right w:val="none" w:sz="0" w:space="0" w:color="auto"/>
      </w:divBdr>
    </w:div>
    <w:div w:id="1531381695">
      <w:bodyDiv w:val="1"/>
      <w:marLeft w:val="0"/>
      <w:marRight w:val="0"/>
      <w:marTop w:val="0"/>
      <w:marBottom w:val="0"/>
      <w:divBdr>
        <w:top w:val="none" w:sz="0" w:space="0" w:color="auto"/>
        <w:left w:val="none" w:sz="0" w:space="0" w:color="auto"/>
        <w:bottom w:val="none" w:sz="0" w:space="0" w:color="auto"/>
        <w:right w:val="none" w:sz="0" w:space="0" w:color="auto"/>
      </w:divBdr>
    </w:div>
    <w:div w:id="1532106196">
      <w:bodyDiv w:val="1"/>
      <w:marLeft w:val="0"/>
      <w:marRight w:val="0"/>
      <w:marTop w:val="0"/>
      <w:marBottom w:val="0"/>
      <w:divBdr>
        <w:top w:val="none" w:sz="0" w:space="0" w:color="auto"/>
        <w:left w:val="none" w:sz="0" w:space="0" w:color="auto"/>
        <w:bottom w:val="none" w:sz="0" w:space="0" w:color="auto"/>
        <w:right w:val="none" w:sz="0" w:space="0" w:color="auto"/>
      </w:divBdr>
    </w:div>
    <w:div w:id="1688217350">
      <w:bodyDiv w:val="1"/>
      <w:marLeft w:val="0"/>
      <w:marRight w:val="0"/>
      <w:marTop w:val="0"/>
      <w:marBottom w:val="0"/>
      <w:divBdr>
        <w:top w:val="none" w:sz="0" w:space="0" w:color="auto"/>
        <w:left w:val="none" w:sz="0" w:space="0" w:color="auto"/>
        <w:bottom w:val="none" w:sz="0" w:space="0" w:color="auto"/>
        <w:right w:val="none" w:sz="0" w:space="0" w:color="auto"/>
      </w:divBdr>
    </w:div>
    <w:div w:id="1867786563">
      <w:bodyDiv w:val="1"/>
      <w:marLeft w:val="0"/>
      <w:marRight w:val="0"/>
      <w:marTop w:val="0"/>
      <w:marBottom w:val="0"/>
      <w:divBdr>
        <w:top w:val="none" w:sz="0" w:space="0" w:color="auto"/>
        <w:left w:val="none" w:sz="0" w:space="0" w:color="auto"/>
        <w:bottom w:val="none" w:sz="0" w:space="0" w:color="auto"/>
        <w:right w:val="none" w:sz="0" w:space="0" w:color="auto"/>
      </w:divBdr>
    </w:div>
    <w:div w:id="2057195297">
      <w:bodyDiv w:val="1"/>
      <w:marLeft w:val="0"/>
      <w:marRight w:val="0"/>
      <w:marTop w:val="0"/>
      <w:marBottom w:val="0"/>
      <w:divBdr>
        <w:top w:val="none" w:sz="0" w:space="0" w:color="auto"/>
        <w:left w:val="none" w:sz="0" w:space="0" w:color="auto"/>
        <w:bottom w:val="none" w:sz="0" w:space="0" w:color="auto"/>
        <w:right w:val="none" w:sz="0" w:space="0" w:color="auto"/>
      </w:divBdr>
      <w:divsChild>
        <w:div w:id="2014064006">
          <w:marLeft w:val="1123"/>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68AE-3D9F-45AB-9500-4E3CE4CE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Iliuta</dc:creator>
  <cp:lastModifiedBy>Vlad Ilina</cp:lastModifiedBy>
  <cp:revision>2</cp:revision>
  <dcterms:created xsi:type="dcterms:W3CDTF">2021-05-31T00:08:00Z</dcterms:created>
  <dcterms:modified xsi:type="dcterms:W3CDTF">2021-05-31T00:08:00Z</dcterms:modified>
</cp:coreProperties>
</file>