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3B34" w14:textId="101F938B" w:rsidR="002308D7" w:rsidRPr="00150885" w:rsidRDefault="00150885" w:rsidP="002308D7">
      <w:pPr>
        <w:spacing w:after="0"/>
        <w:jc w:val="both"/>
        <w:rPr>
          <w:b/>
          <w:iCs/>
          <w:sz w:val="32"/>
          <w:szCs w:val="32"/>
        </w:rPr>
      </w:pPr>
      <w:r w:rsidRPr="00150885">
        <w:rPr>
          <w:b/>
          <w:iCs/>
          <w:sz w:val="32"/>
          <w:szCs w:val="32"/>
        </w:rPr>
        <w:t>Anexa 3.2.1</w:t>
      </w:r>
      <w:r w:rsidR="00EE4DD0">
        <w:rPr>
          <w:b/>
          <w:iCs/>
          <w:sz w:val="32"/>
          <w:szCs w:val="32"/>
        </w:rPr>
        <w:t>2</w:t>
      </w:r>
      <w:r w:rsidRPr="00150885">
        <w:rPr>
          <w:b/>
          <w:iCs/>
          <w:sz w:val="32"/>
          <w:szCs w:val="32"/>
        </w:rPr>
        <w:t xml:space="preserve"> - </w:t>
      </w:r>
      <w:r w:rsidR="002308D7" w:rsidRPr="00150885">
        <w:rPr>
          <w:b/>
          <w:iCs/>
          <w:sz w:val="32"/>
          <w:szCs w:val="32"/>
        </w:rPr>
        <w:t xml:space="preserve">Componenta </w:t>
      </w:r>
      <w:r w:rsidR="006A70B4" w:rsidRPr="00150885">
        <w:rPr>
          <w:b/>
          <w:iCs/>
          <w:sz w:val="32"/>
          <w:szCs w:val="32"/>
        </w:rPr>
        <w:t xml:space="preserve">15 </w:t>
      </w:r>
      <w:r w:rsidR="00100E47" w:rsidRPr="00150885">
        <w:rPr>
          <w:b/>
          <w:iCs/>
          <w:sz w:val="32"/>
          <w:szCs w:val="32"/>
        </w:rPr>
        <w:t>Educație</w:t>
      </w:r>
    </w:p>
    <w:p w14:paraId="4F11E7BF" w14:textId="77777777" w:rsidR="000F7900" w:rsidRPr="00C37A52" w:rsidRDefault="000F7900" w:rsidP="00663A55">
      <w:pPr>
        <w:jc w:val="center"/>
        <w:rPr>
          <w:b/>
        </w:rPr>
      </w:pPr>
    </w:p>
    <w:tbl>
      <w:tblPr>
        <w:tblStyle w:val="TableGrid"/>
        <w:tblW w:w="5000" w:type="pct"/>
        <w:tblLook w:val="04A0" w:firstRow="1" w:lastRow="0" w:firstColumn="1" w:lastColumn="0" w:noHBand="0" w:noVBand="1"/>
      </w:tblPr>
      <w:tblGrid>
        <w:gridCol w:w="4978"/>
        <w:gridCol w:w="5796"/>
        <w:gridCol w:w="3179"/>
        <w:gridCol w:w="3586"/>
        <w:gridCol w:w="3431"/>
      </w:tblGrid>
      <w:tr w:rsidR="00E9532E" w:rsidRPr="00C37A52" w14:paraId="26CFAAFD" w14:textId="77777777" w:rsidTr="007B0761">
        <w:trPr>
          <w:tblHeader/>
        </w:trPr>
        <w:tc>
          <w:tcPr>
            <w:tcW w:w="1187" w:type="pct"/>
            <w:shd w:val="clear" w:color="auto" w:fill="F2DBDB" w:themeFill="accent2" w:themeFillTint="33"/>
          </w:tcPr>
          <w:p w14:paraId="7CF46A84" w14:textId="77777777" w:rsidR="00E9532E" w:rsidRPr="00C37A52" w:rsidRDefault="00E9532E" w:rsidP="00E20259">
            <w:pPr>
              <w:jc w:val="center"/>
              <w:rPr>
                <w:b/>
              </w:rPr>
            </w:pPr>
            <w:r>
              <w:rPr>
                <w:b/>
              </w:rPr>
              <w:t>Reforme și investiții în PNRR</w:t>
            </w:r>
          </w:p>
        </w:tc>
        <w:tc>
          <w:tcPr>
            <w:tcW w:w="1382" w:type="pct"/>
            <w:shd w:val="clear" w:color="auto" w:fill="F2DBDB" w:themeFill="accent2" w:themeFillTint="33"/>
          </w:tcPr>
          <w:p w14:paraId="47A74BE1" w14:textId="77777777" w:rsidR="00E9532E" w:rsidRPr="00C37A52" w:rsidRDefault="00E9532E" w:rsidP="00E20259">
            <w:pPr>
              <w:jc w:val="center"/>
              <w:rPr>
                <w:b/>
              </w:rPr>
            </w:pPr>
            <w:r w:rsidRPr="00C37A52">
              <w:rPr>
                <w:b/>
              </w:rPr>
              <w:t>POEO</w:t>
            </w:r>
          </w:p>
        </w:tc>
        <w:tc>
          <w:tcPr>
            <w:tcW w:w="758" w:type="pct"/>
            <w:shd w:val="clear" w:color="auto" w:fill="F2DBDB" w:themeFill="accent2" w:themeFillTint="33"/>
          </w:tcPr>
          <w:p w14:paraId="7816CF60" w14:textId="77777777" w:rsidR="00E9532E" w:rsidRPr="00C37A52" w:rsidRDefault="00E9532E" w:rsidP="00E20259">
            <w:pPr>
              <w:jc w:val="center"/>
              <w:rPr>
                <w:b/>
              </w:rPr>
            </w:pPr>
            <w:r w:rsidRPr="00C37A52">
              <w:rPr>
                <w:b/>
              </w:rPr>
              <w:t>POR</w:t>
            </w:r>
          </w:p>
        </w:tc>
        <w:tc>
          <w:tcPr>
            <w:tcW w:w="855" w:type="pct"/>
            <w:shd w:val="clear" w:color="auto" w:fill="F2DBDB" w:themeFill="accent2" w:themeFillTint="33"/>
          </w:tcPr>
          <w:p w14:paraId="1E1E9182" w14:textId="77777777" w:rsidR="00E9532E" w:rsidRPr="00C37A52" w:rsidRDefault="00E9532E" w:rsidP="00E20259">
            <w:pPr>
              <w:jc w:val="center"/>
              <w:rPr>
                <w:b/>
              </w:rPr>
            </w:pPr>
            <w:r w:rsidRPr="00C37A52">
              <w:rPr>
                <w:b/>
              </w:rPr>
              <w:t>POIDS</w:t>
            </w:r>
          </w:p>
        </w:tc>
        <w:tc>
          <w:tcPr>
            <w:tcW w:w="818" w:type="pct"/>
            <w:shd w:val="clear" w:color="auto" w:fill="F2DBDB" w:themeFill="accent2" w:themeFillTint="33"/>
          </w:tcPr>
          <w:p w14:paraId="15C0F6FB" w14:textId="77777777" w:rsidR="00E9532E" w:rsidRPr="00C37A52" w:rsidRDefault="00843FD1" w:rsidP="00E20259">
            <w:pPr>
              <w:jc w:val="center"/>
              <w:rPr>
                <w:b/>
              </w:rPr>
            </w:pPr>
            <w:r>
              <w:rPr>
                <w:b/>
              </w:rPr>
              <w:t>POCIDIF</w:t>
            </w:r>
          </w:p>
        </w:tc>
      </w:tr>
      <w:tr w:rsidR="00E9532E" w:rsidRPr="00C37A52" w14:paraId="01224B6E" w14:textId="77777777" w:rsidTr="007B0761">
        <w:tc>
          <w:tcPr>
            <w:tcW w:w="1187" w:type="pct"/>
          </w:tcPr>
          <w:p w14:paraId="7C1B79F9" w14:textId="5EA6B606" w:rsidR="00067D47" w:rsidRDefault="00067D47" w:rsidP="000275CF">
            <w:pPr>
              <w:jc w:val="both"/>
              <w:rPr>
                <w:b/>
              </w:rPr>
            </w:pPr>
            <w:r>
              <w:rPr>
                <w:b/>
              </w:rPr>
              <w:t xml:space="preserve">Pilonul VI. </w:t>
            </w:r>
            <w:r w:rsidR="006A70B4">
              <w:rPr>
                <w:b/>
              </w:rPr>
              <w:t>Generația</w:t>
            </w:r>
            <w:r>
              <w:rPr>
                <w:b/>
              </w:rPr>
              <w:t xml:space="preserve"> </w:t>
            </w:r>
            <w:r w:rsidR="006A70B4">
              <w:rPr>
                <w:b/>
              </w:rPr>
              <w:t>următoare</w:t>
            </w:r>
            <w:r>
              <w:rPr>
                <w:b/>
              </w:rPr>
              <w:t xml:space="preserve"> </w:t>
            </w:r>
          </w:p>
          <w:p w14:paraId="07DF8168" w14:textId="357C4979" w:rsidR="00E9532E" w:rsidRPr="00C37A52" w:rsidRDefault="00E9532E" w:rsidP="000275CF">
            <w:pPr>
              <w:jc w:val="both"/>
              <w:rPr>
                <w:b/>
              </w:rPr>
            </w:pPr>
            <w:r w:rsidRPr="00C37A52">
              <w:rPr>
                <w:b/>
              </w:rPr>
              <w:t>R1. Dezvoltarea unui sistem de servicii de educație timpurie pentru copiii de la naștere la 3 ani, unitar, incluziv și de calitate, având la bază un mecanism eficient de cooperare interinstituțională și de coordonare intersectorială, care să asigure beneficiarilor acces la serviciile de educație timpurie și rate crescute de participare</w:t>
            </w:r>
          </w:p>
          <w:p w14:paraId="24742FED" w14:textId="77777777" w:rsidR="00E9532E" w:rsidRPr="00C37A52" w:rsidRDefault="00E9532E" w:rsidP="000275CF">
            <w:pPr>
              <w:spacing w:before="120"/>
              <w:jc w:val="both"/>
            </w:pPr>
            <w:r w:rsidRPr="00C37A52">
              <w:t>I1.Schemă de granturi pentru construirea și operaționalizarea, de către operatori publici, a unui număr de 140 de creșe pentru îmbunătățirea accesului și a participării copiilor antepreșcolari la servicii standard de educație timpurie, cu scopul favorizării revenirii părinților în câmpul muncii</w:t>
            </w:r>
          </w:p>
          <w:p w14:paraId="185F52F8" w14:textId="77777777" w:rsidR="00E9532E" w:rsidRPr="00C37A52" w:rsidRDefault="00E9532E" w:rsidP="000275CF">
            <w:pPr>
              <w:spacing w:before="120"/>
              <w:jc w:val="both"/>
            </w:pPr>
            <w:r w:rsidRPr="00C37A52">
              <w:t>I2. Schemă de granturi pentru înființarea și operaționalizarea unui număr de 412 de servicii</w:t>
            </w:r>
          </w:p>
          <w:p w14:paraId="1BFEAC98" w14:textId="77777777" w:rsidR="00E9532E" w:rsidRPr="00C37A52" w:rsidRDefault="00E9532E" w:rsidP="000275CF">
            <w:pPr>
              <w:spacing w:before="120"/>
              <w:jc w:val="both"/>
            </w:pPr>
            <w:r w:rsidRPr="00C37A52">
              <w:t>complementare pentru grupurile dezavantajate în cele 41 de județe și în municipiul București.</w:t>
            </w:r>
          </w:p>
          <w:p w14:paraId="142FF50D" w14:textId="77777777" w:rsidR="00E9532E" w:rsidRPr="00C37A52" w:rsidRDefault="00E9532E" w:rsidP="000275CF">
            <w:pPr>
              <w:spacing w:before="120"/>
              <w:jc w:val="both"/>
            </w:pPr>
            <w:r w:rsidRPr="00C37A52">
              <w:t>I3. Program cadru de formare continuă a profesioniștilor care lucrează în serviciile de educație timpurie, cu precădere a celor care lucrează în servicii destinate copiilor cu vârste de la naștere la 3 ani</w:t>
            </w:r>
          </w:p>
        </w:tc>
        <w:tc>
          <w:tcPr>
            <w:tcW w:w="1382" w:type="pct"/>
          </w:tcPr>
          <w:p w14:paraId="0ED89F2F" w14:textId="77777777" w:rsidR="00E9532E" w:rsidRPr="00C37A52" w:rsidRDefault="00E9532E" w:rsidP="00A6072A">
            <w:pPr>
              <w:spacing w:after="120"/>
              <w:rPr>
                <w:rFonts w:eastAsia="Times New Roman"/>
                <w:b/>
                <w:noProof/>
              </w:rPr>
            </w:pPr>
            <w:r w:rsidRPr="00C37A52">
              <w:rPr>
                <w:rFonts w:eastAsia="Times New Roman"/>
                <w:b/>
                <w:noProof/>
              </w:rPr>
              <w:t>Prioritatea 2- Îmbunătățirea participării copiilor la educația antepreșcolară și preșcolară</w:t>
            </w:r>
          </w:p>
          <w:p w14:paraId="275F8F0A" w14:textId="77777777" w:rsidR="00E9532E" w:rsidRPr="00C37A52" w:rsidRDefault="00E9532E" w:rsidP="00A6072A">
            <w:pPr>
              <w:pStyle w:val="ListParagraph"/>
              <w:numPr>
                <w:ilvl w:val="0"/>
                <w:numId w:val="4"/>
              </w:numPr>
              <w:spacing w:after="200" w:line="276" w:lineRule="auto"/>
              <w:jc w:val="both"/>
            </w:pPr>
            <w:r w:rsidRPr="00C37A52">
              <w:t>Dezvoltarea și asigurarea calității sistemului de ÎETC, prin: elaborare ghiduri de bune practici pentru implementare noului curriculum, definirea de standarde minime privind spațiul educațional, dotările, activitatea psiho-pedagogică și activități suport, standarde ocupaționale, pilotare strategii de predare-inovatoare, dezvoltare sistem de monitorizare a formării continue și a efectelor acesteia, prin raportare la progresul copiilor</w:t>
            </w:r>
          </w:p>
          <w:p w14:paraId="17FF389E" w14:textId="77777777" w:rsidR="00E9532E" w:rsidRPr="00C37A52" w:rsidRDefault="00E9532E" w:rsidP="00711CBD">
            <w:pPr>
              <w:pStyle w:val="ListParagraph"/>
              <w:numPr>
                <w:ilvl w:val="0"/>
                <w:numId w:val="4"/>
              </w:numPr>
              <w:spacing w:after="200" w:line="276" w:lineRule="auto"/>
              <w:jc w:val="both"/>
            </w:pPr>
            <w:r w:rsidRPr="00C37A52">
              <w:t>Diversificarea și flexibilizarea serviciilor de suport socio-educațional, prin: implementare măsuri strategice la nivel local pentru asigurarea numărului de locuri pentru IETC, asigurare servicii complementare, măsuri de acompaniere, adaptare servicii la nevoile copiilor cu dizabilități/ CES, informare, consiliere , educație parentală</w:t>
            </w:r>
          </w:p>
          <w:p w14:paraId="352BD1E7" w14:textId="77777777" w:rsidR="00E9532E" w:rsidRPr="00C37A52" w:rsidRDefault="00E9532E" w:rsidP="00711CBD">
            <w:pPr>
              <w:pStyle w:val="ListParagraph"/>
              <w:numPr>
                <w:ilvl w:val="0"/>
                <w:numId w:val="4"/>
              </w:numPr>
              <w:spacing w:after="200" w:line="276" w:lineRule="auto"/>
              <w:jc w:val="both"/>
            </w:pPr>
            <w:r w:rsidRPr="00C37A52">
              <w:t>Dezvoltarea sistemului de formare inițială și continuă a cadrelor didactice din ÎETC, cu focalizare pe teme precum: dezvoltarea personală, dezvoltarea de abilități socio-emoționale, abilități digitale, competențe de gândire strategică, comunități care educă/ învață.</w:t>
            </w:r>
          </w:p>
        </w:tc>
        <w:tc>
          <w:tcPr>
            <w:tcW w:w="758" w:type="pct"/>
          </w:tcPr>
          <w:p w14:paraId="6D204FD9" w14:textId="77777777" w:rsidR="00E9532E" w:rsidRPr="00C37A52" w:rsidRDefault="00E9532E" w:rsidP="008B6BB6">
            <w:pPr>
              <w:spacing w:after="160" w:line="259" w:lineRule="auto"/>
              <w:jc w:val="both"/>
              <w:rPr>
                <w:rFonts w:cstheme="majorHAnsi"/>
                <w:b/>
              </w:rPr>
            </w:pPr>
            <w:r w:rsidRPr="00C37A52">
              <w:rPr>
                <w:rFonts w:cstheme="majorHAnsi"/>
                <w:b/>
              </w:rPr>
              <w:t>Prioritatea - O regiune educată</w:t>
            </w:r>
          </w:p>
          <w:p w14:paraId="0BA43C3C" w14:textId="4D40F879" w:rsidR="00E9532E" w:rsidRPr="00C37A52" w:rsidRDefault="00E9532E" w:rsidP="008B6BB6">
            <w:pPr>
              <w:spacing w:after="160" w:line="259" w:lineRule="auto"/>
              <w:jc w:val="both"/>
              <w:rPr>
                <w:rFonts w:cstheme="majorHAnsi"/>
                <w:b/>
              </w:rPr>
            </w:pPr>
            <w:r w:rsidRPr="00C37A52">
              <w:rPr>
                <w:rFonts w:cstheme="majorHAnsi"/>
                <w:b/>
              </w:rPr>
              <w:t xml:space="preserve">Acțiunea 6.1 Dezvoltarea infrastructurii </w:t>
            </w:r>
            <w:r w:rsidR="006A70B4" w:rsidRPr="00C37A52">
              <w:rPr>
                <w:rFonts w:cstheme="majorHAnsi"/>
                <w:b/>
              </w:rPr>
              <w:t>educaționale</w:t>
            </w:r>
            <w:r w:rsidRPr="00C37A52">
              <w:rPr>
                <w:rFonts w:cstheme="majorHAnsi"/>
                <w:b/>
              </w:rPr>
              <w:t xml:space="preserve"> pentru </w:t>
            </w:r>
            <w:r w:rsidR="006A70B4" w:rsidRPr="00C37A52">
              <w:rPr>
                <w:rFonts w:cstheme="majorHAnsi"/>
                <w:b/>
              </w:rPr>
              <w:t>învățământ</w:t>
            </w:r>
            <w:r w:rsidRPr="00C37A52">
              <w:rPr>
                <w:rFonts w:cstheme="majorHAnsi"/>
                <w:b/>
              </w:rPr>
              <w:t xml:space="preserve"> timpuriu (</w:t>
            </w:r>
            <w:r w:rsidR="006A70B4" w:rsidRPr="00C37A52">
              <w:rPr>
                <w:rFonts w:cstheme="majorHAnsi"/>
                <w:b/>
              </w:rPr>
              <w:t>ante preșcolar</w:t>
            </w:r>
            <w:r w:rsidRPr="00C37A52">
              <w:rPr>
                <w:rFonts w:cstheme="majorHAnsi"/>
                <w:b/>
              </w:rPr>
              <w:t xml:space="preserve"> si </w:t>
            </w:r>
            <w:r w:rsidR="006A70B4" w:rsidRPr="00C37A52">
              <w:rPr>
                <w:rFonts w:cstheme="majorHAnsi"/>
                <w:b/>
              </w:rPr>
              <w:t>preșcolar</w:t>
            </w:r>
            <w:r w:rsidRPr="00C37A52">
              <w:rPr>
                <w:rFonts w:cstheme="majorHAnsi"/>
                <w:b/>
              </w:rPr>
              <w:t xml:space="preserve">), </w:t>
            </w:r>
            <w:r w:rsidR="006A70B4" w:rsidRPr="00C37A52">
              <w:rPr>
                <w:rFonts w:cstheme="majorHAnsi"/>
                <w:b/>
              </w:rPr>
              <w:t>învățământ</w:t>
            </w:r>
            <w:r w:rsidRPr="00C37A52">
              <w:rPr>
                <w:rFonts w:cstheme="majorHAnsi"/>
                <w:b/>
              </w:rPr>
              <w:t xml:space="preserve"> primar si gimnazial;</w:t>
            </w:r>
          </w:p>
          <w:p w14:paraId="36A77BC6" w14:textId="77777777" w:rsidR="00E9532E" w:rsidRPr="00C37A52" w:rsidRDefault="00E9532E" w:rsidP="008B6BB6">
            <w:pPr>
              <w:spacing w:after="160" w:line="259" w:lineRule="auto"/>
              <w:jc w:val="both"/>
              <w:rPr>
                <w:rFonts w:cstheme="majorHAnsi"/>
                <w:b/>
              </w:rPr>
            </w:pPr>
          </w:p>
        </w:tc>
        <w:tc>
          <w:tcPr>
            <w:tcW w:w="855" w:type="pct"/>
          </w:tcPr>
          <w:p w14:paraId="52443AB0" w14:textId="150D11FF" w:rsidR="00E9532E" w:rsidRPr="00C37A52" w:rsidRDefault="00E9532E" w:rsidP="00E9532E">
            <w:pPr>
              <w:jc w:val="both"/>
              <w:rPr>
                <w:rFonts w:cstheme="minorHAnsi"/>
                <w:b/>
              </w:rPr>
            </w:pPr>
            <w:r w:rsidRPr="00C37A52">
              <w:rPr>
                <w:rFonts w:cstheme="minorHAnsi"/>
                <w:b/>
              </w:rPr>
              <w:t xml:space="preserve">Prioritatea 1 Dezvoltarea Locala plasata sub Responsabilitatea </w:t>
            </w:r>
            <w:r w:rsidR="00100E47" w:rsidRPr="00C37A52">
              <w:rPr>
                <w:rFonts w:cstheme="minorHAnsi"/>
                <w:b/>
              </w:rPr>
              <w:t>Comunității</w:t>
            </w:r>
            <w:r w:rsidRPr="00C37A52">
              <w:rPr>
                <w:rFonts w:cstheme="minorHAnsi"/>
                <w:b/>
              </w:rPr>
              <w:t xml:space="preserve"> </w:t>
            </w:r>
          </w:p>
          <w:p w14:paraId="1E8C5106" w14:textId="77777777" w:rsidR="00E9532E" w:rsidRPr="00C37A52" w:rsidRDefault="00E9532E" w:rsidP="00685321"/>
          <w:p w14:paraId="080D19EA" w14:textId="77777777" w:rsidR="00E9532E" w:rsidRPr="00C37A52" w:rsidRDefault="00E9532E" w:rsidP="00685321">
            <w:pPr>
              <w:spacing w:after="200" w:line="276" w:lineRule="auto"/>
              <w:jc w:val="both"/>
              <w:rPr>
                <w:rFonts w:eastAsia="Calibri" w:cs="Calibri"/>
                <w:b/>
              </w:rPr>
            </w:pPr>
            <w:r w:rsidRPr="00C37A52">
              <w:rPr>
                <w:rFonts w:eastAsia="Calibri" w:cs="Calibri"/>
                <w:b/>
              </w:rPr>
              <w:t>Acțiunea 1.2 Servicii sociale, de ocupare si de sănătate, combaterea abandonului școlar, incluziune; sprijinirea funcționarii GAL</w:t>
            </w:r>
          </w:p>
          <w:p w14:paraId="79A7EB77" w14:textId="77777777" w:rsidR="00E9532E" w:rsidRPr="00C37A52" w:rsidRDefault="00E9532E" w:rsidP="00685321">
            <w:pPr>
              <w:numPr>
                <w:ilvl w:val="0"/>
                <w:numId w:val="19"/>
              </w:numPr>
              <w:spacing w:after="200" w:line="276" w:lineRule="auto"/>
              <w:contextualSpacing/>
              <w:jc w:val="both"/>
            </w:pPr>
            <w:r w:rsidRPr="00C37A52">
              <w:t>Sprijin pentru dezvoltarea de servicii de educație și îngrijire pentru copii, servicii de tip before și after-school, servicii de suport educațional pentru copiii la risc de abandon școlar, servicii de sprijin educațional pentru adulții vulnerabili, în funcție de nevoile identificate în Strategiile de dezvoltare locală</w:t>
            </w:r>
          </w:p>
          <w:p w14:paraId="3A011CAE" w14:textId="77777777" w:rsidR="00E9532E" w:rsidRPr="00C37A52" w:rsidRDefault="00E9532E" w:rsidP="00685321">
            <w:pPr>
              <w:rPr>
                <w:rFonts w:cstheme="majorHAnsi"/>
                <w:b/>
              </w:rPr>
            </w:pPr>
          </w:p>
        </w:tc>
        <w:tc>
          <w:tcPr>
            <w:tcW w:w="818" w:type="pct"/>
          </w:tcPr>
          <w:p w14:paraId="57B62124" w14:textId="77777777" w:rsidR="00E9532E" w:rsidRPr="00C37A52" w:rsidRDefault="00E9532E" w:rsidP="00E9532E">
            <w:pPr>
              <w:jc w:val="both"/>
              <w:rPr>
                <w:rFonts w:cstheme="minorHAnsi"/>
                <w:b/>
              </w:rPr>
            </w:pPr>
          </w:p>
        </w:tc>
      </w:tr>
      <w:tr w:rsidR="00E9532E" w:rsidRPr="00C37A52" w14:paraId="6363E820" w14:textId="77777777" w:rsidTr="00843FD1">
        <w:tc>
          <w:tcPr>
            <w:tcW w:w="4182" w:type="pct"/>
            <w:gridSpan w:val="4"/>
          </w:tcPr>
          <w:p w14:paraId="1BB47D46" w14:textId="77777777" w:rsidR="00E9532E" w:rsidRPr="00137A83" w:rsidRDefault="00E9532E" w:rsidP="00100462">
            <w:pPr>
              <w:spacing w:after="160" w:line="259" w:lineRule="auto"/>
              <w:jc w:val="both"/>
              <w:rPr>
                <w:rFonts w:cstheme="majorHAnsi"/>
                <w:color w:val="FF0000"/>
              </w:rPr>
            </w:pPr>
            <w:r w:rsidRPr="00137A83">
              <w:rPr>
                <w:rFonts w:cstheme="majorHAnsi"/>
                <w:color w:val="FF0000"/>
              </w:rPr>
              <w:t>În timp ce prin PNRR, se asigură reformarea cadrului instituțional și legislativ în domeniul educației timpurii (metodologii, standarde pentru infrastructură si dotări, formarea cadrelor didactice pentru educația timpurie, în special pentru nivelul 0-3 ani, pentru serviciile nou înființate), prin POEO se vor elabora standarde pentru activitățile psiho-pedagogice și suport, revizuirea standardelor ocupaționale pentru personalul din educația timpurie și elaborarea standardelor profesionale pentru profesii noi. De asemenea, se vor realiza ghiduri de punere în practică a noului curriculum  și a metodelor noi de învățare (inclusivă, digitală, centrată pe copil).</w:t>
            </w:r>
          </w:p>
          <w:p w14:paraId="7636B6C0" w14:textId="77777777" w:rsidR="00E9532E" w:rsidRPr="00137A83" w:rsidRDefault="00E9532E" w:rsidP="00100462">
            <w:pPr>
              <w:spacing w:after="160" w:line="259" w:lineRule="auto"/>
              <w:jc w:val="both"/>
              <w:rPr>
                <w:rFonts w:cstheme="majorHAnsi"/>
                <w:color w:val="FF0000"/>
              </w:rPr>
            </w:pPr>
            <w:r w:rsidRPr="00137A83">
              <w:rPr>
                <w:rFonts w:cstheme="majorHAnsi"/>
                <w:color w:val="FF0000"/>
              </w:rPr>
              <w:t xml:space="preserve">Prin POEO, formarea cadrelor didactice va fi orientată către abordarea inclusiva a procesului educațional, prin teme precum: dezvoltarea de abilități socio-emoționale, abilități digitale, competențe de gândire strategică, comunități care educă/ învață etc. De asemenea, se are în vedere implementarea unui sistem de monitorizare a formării continue și a efectelor acesteia, prin raportare la progresul copiilor, îndeosebi la progresul copiilor din grupurile vulnerabile (cu dizabilități, de etnie romă, din mediul rural etc.). </w:t>
            </w:r>
          </w:p>
          <w:p w14:paraId="2C0DE4AA" w14:textId="77777777" w:rsidR="00E9532E" w:rsidRPr="00137A83" w:rsidRDefault="00E9532E" w:rsidP="00100462">
            <w:pPr>
              <w:spacing w:after="160" w:line="259" w:lineRule="auto"/>
              <w:jc w:val="both"/>
              <w:rPr>
                <w:rFonts w:cstheme="majorHAnsi"/>
                <w:color w:val="FF0000"/>
              </w:rPr>
            </w:pPr>
            <w:r w:rsidRPr="00137A83">
              <w:rPr>
                <w:rFonts w:cstheme="majorHAnsi"/>
                <w:color w:val="FF0000"/>
              </w:rPr>
              <w:t xml:space="preserve">Totodată, prin Prioritatea 2 din POEO sunt propuse măsuri de acompaniament ce vizează atât copilul cât și familia (părinți, aparținători, etc.) </w:t>
            </w:r>
          </w:p>
          <w:p w14:paraId="2C0A2833" w14:textId="77777777" w:rsidR="00E9532E" w:rsidRPr="00C37A52" w:rsidRDefault="00E9532E" w:rsidP="00100462">
            <w:pPr>
              <w:rPr>
                <w:rFonts w:cstheme="minorHAnsi"/>
                <w:b/>
              </w:rPr>
            </w:pPr>
            <w:r w:rsidRPr="00137A83">
              <w:rPr>
                <w:rFonts w:cstheme="majorHAnsi"/>
                <w:color w:val="FF0000"/>
              </w:rPr>
              <w:t>Totodată, prin POIDS la nivelul Priorității 1 – DLRC în cadrul Strategiilor DLRC pot fi dezvoltate inclusiv servicii de educație timpurie în condițiile în care Strategiile identifică astfel de nevoi.</w:t>
            </w:r>
          </w:p>
        </w:tc>
        <w:tc>
          <w:tcPr>
            <w:tcW w:w="818" w:type="pct"/>
          </w:tcPr>
          <w:p w14:paraId="1CB4E939" w14:textId="77777777" w:rsidR="00E9532E" w:rsidRPr="00137A83" w:rsidRDefault="00E9532E" w:rsidP="00100462">
            <w:pPr>
              <w:spacing w:after="160" w:line="259" w:lineRule="auto"/>
              <w:jc w:val="both"/>
              <w:rPr>
                <w:rFonts w:cstheme="majorHAnsi"/>
                <w:color w:val="FF0000"/>
              </w:rPr>
            </w:pPr>
          </w:p>
        </w:tc>
      </w:tr>
      <w:tr w:rsidR="00E9532E" w:rsidRPr="00C37A52" w14:paraId="16C493FC" w14:textId="77777777" w:rsidTr="007B0761">
        <w:tc>
          <w:tcPr>
            <w:tcW w:w="1187" w:type="pct"/>
          </w:tcPr>
          <w:p w14:paraId="0ACD0B37" w14:textId="77777777" w:rsidR="00E9532E" w:rsidRPr="00C37A52" w:rsidRDefault="00E9532E" w:rsidP="0043463E">
            <w:pPr>
              <w:jc w:val="both"/>
              <w:rPr>
                <w:b/>
              </w:rPr>
            </w:pPr>
            <w:r w:rsidRPr="00C37A52">
              <w:rPr>
                <w:b/>
              </w:rPr>
              <w:t>R2. Reformarea sistemului de învățământ prin creșterea accesului persoanelor defavorizate și a grupurilor vulnerabile la învățământul obligatoriu de stat prin identificarea și implementarea unor măsuri specifice pentru prevenirea și reducerea abandonului școlar.</w:t>
            </w:r>
          </w:p>
          <w:p w14:paraId="417DCBB2" w14:textId="49621A1D" w:rsidR="006A70B4" w:rsidRDefault="006A70B4" w:rsidP="006A70B4">
            <w:pPr>
              <w:jc w:val="both"/>
            </w:pPr>
            <w:r>
              <w:t xml:space="preserve">I4.Schemă necompetitivă de granturi pentru unitățile de învățământ cu risc crescut de abandon școlar prin activități educaționale diversificate, măsuri </w:t>
            </w:r>
            <w:r>
              <w:lastRenderedPageBreak/>
              <w:t>remediale, programe sociale și monitorizarea activităților.</w:t>
            </w:r>
          </w:p>
          <w:p w14:paraId="53909B9B" w14:textId="77777777" w:rsidR="006A70B4" w:rsidRDefault="006A70B4" w:rsidP="006A70B4">
            <w:pPr>
              <w:jc w:val="both"/>
            </w:pPr>
          </w:p>
          <w:p w14:paraId="10203793" w14:textId="11FC40B6" w:rsidR="00E9532E" w:rsidRPr="00C37A52" w:rsidRDefault="006A70B4" w:rsidP="006A70B4">
            <w:pPr>
              <w:jc w:val="both"/>
              <w:rPr>
                <w:b/>
                <w:i/>
              </w:rPr>
            </w:pPr>
            <w:r>
              <w:t>I5.Intervenții sistemice în vederea sprijinirii reformelor precum evaluări, analiza de impact activități de mentorat și coaching pentru cadre didactice și directori ai unităților de învățământ, formare în utilizarea mediilor de învățare virtuale sau hibrid, instrumentelor de învățare, observarea la clasă etc.</w:t>
            </w:r>
          </w:p>
        </w:tc>
        <w:tc>
          <w:tcPr>
            <w:tcW w:w="1382" w:type="pct"/>
          </w:tcPr>
          <w:p w14:paraId="3F00CB15" w14:textId="77777777" w:rsidR="00E9532E" w:rsidRPr="00C37A52" w:rsidRDefault="00E9532E" w:rsidP="0043463E">
            <w:pPr>
              <w:spacing w:before="80" w:after="80"/>
              <w:jc w:val="both"/>
              <w:rPr>
                <w:b/>
              </w:rPr>
            </w:pPr>
            <w:r w:rsidRPr="00C37A52">
              <w:rPr>
                <w:b/>
              </w:rPr>
              <w:lastRenderedPageBreak/>
              <w:t>Prioritatea 3 - Prevenirea părăsirii timpurii a școlii și creșterea accesului și a participării grupurilor dezavantajate la educație și formare profesională</w:t>
            </w:r>
          </w:p>
          <w:p w14:paraId="1C7BC5D0" w14:textId="77777777" w:rsidR="00E9532E" w:rsidRPr="00C37A52" w:rsidRDefault="00E9532E" w:rsidP="0043463E">
            <w:pPr>
              <w:spacing w:line="259" w:lineRule="auto"/>
              <w:jc w:val="both"/>
              <w:rPr>
                <w:b/>
                <w:i/>
              </w:rPr>
            </w:pPr>
            <w:r w:rsidRPr="00C37A52">
              <w:rPr>
                <w:b/>
                <w:i/>
              </w:rPr>
              <w:t>Orizontal:</w:t>
            </w:r>
          </w:p>
          <w:p w14:paraId="53608697" w14:textId="77777777" w:rsidR="00E9532E" w:rsidRPr="00C37A52" w:rsidRDefault="00E9532E" w:rsidP="0043463E">
            <w:pPr>
              <w:pStyle w:val="ListParagraph"/>
              <w:numPr>
                <w:ilvl w:val="0"/>
                <w:numId w:val="4"/>
              </w:numPr>
            </w:pPr>
            <w:r w:rsidRPr="00C37A52">
              <w:t xml:space="preserve">Aplicarea la nivelul unităților școlare a mecanismelor de monitorizare, avertizare, prevenire și combatere a fenomenelor de: a) abandon școlar și părăsire timpurie a școlii și b) discriminare și segregare școlară, prin: informare și formare resurse umane din școală și </w:t>
            </w:r>
            <w:r w:rsidRPr="00C37A52">
              <w:lastRenderedPageBreak/>
              <w:t>comunitate pentru implementarea mecanismelor, campanii de conștientizare, asigurarea mediatorilor și consilierilor școlari, dezvoltare strategii locale pentru educație / planuri de acțiune la nivelul unităților școlare pentru implementarea mecanismelor; dezvoltare/implementare/actualizare instrumente de lucru și baze de date  pentru colectarea consecventă a informațiilor; analiza, prelucrarea și utilizarea acestor date pentru planificarea intervențiilor și luarea deciziilor adecvate la condițiile specifice ale școlii/ comunității etc</w:t>
            </w:r>
          </w:p>
          <w:p w14:paraId="39183A61" w14:textId="77777777" w:rsidR="00E9532E" w:rsidRPr="00C37A52" w:rsidRDefault="00E9532E" w:rsidP="0043463E">
            <w:pPr>
              <w:pStyle w:val="ListParagraph"/>
              <w:numPr>
                <w:ilvl w:val="0"/>
                <w:numId w:val="4"/>
              </w:numPr>
              <w:jc w:val="both"/>
            </w:pPr>
            <w:r w:rsidRPr="00C37A52">
              <w:t xml:space="preserve">Facilitarea transportului elevilor către/ de la unitățile școlare, prin măsuri adaptate fiecărei comunități </w:t>
            </w:r>
          </w:p>
          <w:p w14:paraId="718467D0" w14:textId="77777777" w:rsidR="00E9532E" w:rsidRPr="00C37A52" w:rsidRDefault="00E9532E" w:rsidP="0043463E">
            <w:pPr>
              <w:pStyle w:val="ListParagraph"/>
              <w:numPr>
                <w:ilvl w:val="0"/>
                <w:numId w:val="4"/>
              </w:numPr>
              <w:jc w:val="both"/>
            </w:pPr>
            <w:r w:rsidRPr="00C37A52">
              <w:t>Îmbunătățirea accesului și a participării la educație a copiilor cu dizabilități și/sau cerințe educaționale speciale (CES):</w:t>
            </w:r>
          </w:p>
          <w:p w14:paraId="7F8F88D3" w14:textId="77777777" w:rsidR="00E9532E" w:rsidRPr="00C37A52" w:rsidRDefault="00E9532E" w:rsidP="0043463E">
            <w:pPr>
              <w:pStyle w:val="ListParagraph"/>
              <w:numPr>
                <w:ilvl w:val="0"/>
                <w:numId w:val="12"/>
              </w:numPr>
              <w:jc w:val="both"/>
            </w:pPr>
            <w:r w:rsidRPr="00C37A52">
              <w:t xml:space="preserve">dezvoltare/achiziție de resurse educaționale și materiale suport pentru predare-învățare-evaluare care să sprijine centrarea pe elev și un demers didactic incluziv, inclusiv prin achiziția de soft-uri, echipamente și tehnici asistive și alte mijloace de învățare adaptate diferitelor categorii de dizabilitate/nevoi pentru copiii/ elevii/ tinerii cu dizabilități/CES; </w:t>
            </w:r>
          </w:p>
          <w:p w14:paraId="40810701" w14:textId="5BA1F898" w:rsidR="00E9532E" w:rsidRPr="00C37A52" w:rsidRDefault="00E9532E" w:rsidP="0043463E">
            <w:pPr>
              <w:pStyle w:val="ListParagraph"/>
              <w:numPr>
                <w:ilvl w:val="0"/>
                <w:numId w:val="12"/>
              </w:numPr>
              <w:jc w:val="both"/>
            </w:pPr>
            <w:r w:rsidRPr="00C37A52">
              <w:t xml:space="preserve">accesibilizarea clădirilor/spațiilor unităților de învățământ pentru a asigura accesul persoanelor cu dizabilități/CES la educație în </w:t>
            </w:r>
            <w:r w:rsidR="004C5282" w:rsidRPr="00C37A52">
              <w:t>comunitățile</w:t>
            </w:r>
            <w:r w:rsidRPr="00C37A52">
              <w:t xml:space="preserve"> în care trăiesc;</w:t>
            </w:r>
          </w:p>
          <w:p w14:paraId="30F6910C" w14:textId="2D9587C6" w:rsidR="00E9532E" w:rsidRPr="00C37A52" w:rsidRDefault="00E9532E" w:rsidP="0043463E">
            <w:pPr>
              <w:pStyle w:val="ListParagraph"/>
              <w:numPr>
                <w:ilvl w:val="0"/>
                <w:numId w:val="12"/>
              </w:numPr>
              <w:jc w:val="both"/>
            </w:pPr>
            <w:r w:rsidRPr="00C37A52">
              <w:t xml:space="preserve">adaptarea platformelor </w:t>
            </w:r>
            <w:r w:rsidR="004C5282" w:rsidRPr="00C37A52">
              <w:t>educaționale</w:t>
            </w:r>
            <w:r w:rsidRPr="00C37A52">
              <w:t xml:space="preserve"> existente şi dezvoltarea de noi platforme </w:t>
            </w:r>
            <w:r w:rsidR="004C5282" w:rsidRPr="00C37A52">
              <w:t>educaționale</w:t>
            </w:r>
            <w:r w:rsidRPr="00C37A52">
              <w:t xml:space="preserve">, astfel încât să poată fi utilizate de copiii cu </w:t>
            </w:r>
            <w:r w:rsidR="004C5282" w:rsidRPr="00C37A52">
              <w:t>dizabilități</w:t>
            </w:r>
            <w:r w:rsidRPr="00C37A52">
              <w:t xml:space="preserve"> şi cerinţe </w:t>
            </w:r>
            <w:r w:rsidR="004C5282" w:rsidRPr="00C37A52">
              <w:t>educaționale</w:t>
            </w:r>
            <w:r w:rsidRPr="00C37A52">
              <w:t xml:space="preserve"> speciale;</w:t>
            </w:r>
          </w:p>
          <w:p w14:paraId="7E275179" w14:textId="2A32E3A8" w:rsidR="00E9532E" w:rsidRPr="00C37A52" w:rsidRDefault="00E9532E" w:rsidP="0043463E">
            <w:pPr>
              <w:pStyle w:val="ListParagraph"/>
              <w:numPr>
                <w:ilvl w:val="0"/>
                <w:numId w:val="12"/>
              </w:numPr>
              <w:jc w:val="both"/>
            </w:pPr>
            <w:r w:rsidRPr="00C37A52">
              <w:t xml:space="preserve">măsuri privind </w:t>
            </w:r>
            <w:r w:rsidR="004C5282" w:rsidRPr="00C37A52">
              <w:t>susținerea</w:t>
            </w:r>
            <w:r w:rsidRPr="00C37A52">
              <w:t xml:space="preserve"> şi dezvoltarea unei </w:t>
            </w:r>
            <w:r w:rsidR="004C5282" w:rsidRPr="00C37A52">
              <w:t>rețele</w:t>
            </w:r>
            <w:r w:rsidRPr="00C37A52">
              <w:t xml:space="preserve"> de ateliere protejate destinate copiilor cu </w:t>
            </w:r>
            <w:r w:rsidR="004C5282" w:rsidRPr="00C37A52">
              <w:t>dizabilități</w:t>
            </w:r>
            <w:r w:rsidRPr="00C37A52">
              <w:t xml:space="preserve"> sau CES</w:t>
            </w:r>
          </w:p>
          <w:p w14:paraId="456D802C" w14:textId="77777777" w:rsidR="00E9532E" w:rsidRPr="00C37A52" w:rsidRDefault="00E9532E" w:rsidP="0043463E">
            <w:pPr>
              <w:pStyle w:val="ListParagraph"/>
              <w:numPr>
                <w:ilvl w:val="0"/>
                <w:numId w:val="4"/>
              </w:numPr>
              <w:jc w:val="both"/>
            </w:pPr>
            <w:r w:rsidRPr="00C37A52">
              <w:t>Programe de informare și conștientizare privind participarea la educație,  consiliere și educație parentală,  cu accent pe grupurile vulnerabile</w:t>
            </w:r>
          </w:p>
          <w:p w14:paraId="14DB0382" w14:textId="77777777" w:rsidR="00E9532E" w:rsidRPr="00C37A52" w:rsidRDefault="00E9532E" w:rsidP="0043463E">
            <w:pPr>
              <w:pStyle w:val="ListParagraph"/>
              <w:numPr>
                <w:ilvl w:val="0"/>
                <w:numId w:val="4"/>
              </w:numPr>
              <w:jc w:val="both"/>
            </w:pPr>
            <w:r w:rsidRPr="00C37A52">
              <w:t>Dezvoltare profesională pentru personalul didactic, în vederea asigurării unui sistem de educație incluziv:</w:t>
            </w:r>
          </w:p>
          <w:p w14:paraId="31225ECE" w14:textId="77777777" w:rsidR="00E9532E" w:rsidRPr="00C37A52" w:rsidRDefault="00E9532E" w:rsidP="0043463E">
            <w:pPr>
              <w:pStyle w:val="ListParagraph"/>
              <w:numPr>
                <w:ilvl w:val="0"/>
                <w:numId w:val="16"/>
              </w:numPr>
              <w:jc w:val="both"/>
            </w:pPr>
            <w:r w:rsidRPr="00C37A52">
              <w:t xml:space="preserve">formare (inițială și continuă), peer learning, rețele profesionale și mentorat, comunități de învățare tematice, inclusiv prin furnizarea unor materiale suport pentru predare-învățare-evaluare, inclusiv pentru dezvoltarea competențelor digitale; </w:t>
            </w:r>
          </w:p>
          <w:p w14:paraId="0E9BD0BE" w14:textId="77777777" w:rsidR="00E9532E" w:rsidRPr="00C37A52" w:rsidRDefault="00E9532E" w:rsidP="0043463E">
            <w:pPr>
              <w:pStyle w:val="ListParagraph"/>
              <w:numPr>
                <w:ilvl w:val="0"/>
                <w:numId w:val="16"/>
              </w:numPr>
              <w:jc w:val="both"/>
            </w:pPr>
            <w:r w:rsidRPr="00C37A52">
              <w:t>dezvoltare programe de formare continuă pentru cunoașterea și implementarea metodelor și instrumentelor adecvate pentru individualizarea învățării</w:t>
            </w:r>
          </w:p>
          <w:p w14:paraId="0AA3BC94" w14:textId="77777777" w:rsidR="00E9532E" w:rsidRPr="00C37A52" w:rsidRDefault="00E9532E" w:rsidP="0043463E">
            <w:pPr>
              <w:pStyle w:val="ListParagraph"/>
              <w:numPr>
                <w:ilvl w:val="0"/>
                <w:numId w:val="16"/>
              </w:numPr>
              <w:jc w:val="both"/>
            </w:pPr>
            <w:r w:rsidRPr="00C37A52">
              <w:t xml:space="preserve">formarea personalului didactic în domeniul egalității de șanse, non-discriminării, managementul diversității </w:t>
            </w:r>
          </w:p>
          <w:p w14:paraId="46862C0B" w14:textId="77777777" w:rsidR="00E9532E" w:rsidRPr="00C37A52" w:rsidRDefault="00E9532E" w:rsidP="0043463E">
            <w:pPr>
              <w:jc w:val="both"/>
              <w:rPr>
                <w:rFonts w:cstheme="minorHAnsi"/>
                <w:i/>
                <w:iCs/>
              </w:rPr>
            </w:pPr>
            <w:r w:rsidRPr="00C37A52">
              <w:rPr>
                <w:rFonts w:cstheme="minorHAnsi"/>
                <w:b/>
                <w:i/>
                <w:iCs/>
              </w:rPr>
              <w:t>NB</w:t>
            </w:r>
            <w:r w:rsidRPr="00C37A52">
              <w:rPr>
                <w:rFonts w:cstheme="minorHAnsi"/>
                <w:i/>
                <w:iCs/>
              </w:rPr>
              <w:t xml:space="preserve"> Implementarea planurilor de intervenție specifice dezvoltate pentru operaționalizarea mecanismelor se va face </w:t>
            </w:r>
            <w:r w:rsidRPr="00C37A52">
              <w:rPr>
                <w:rFonts w:cstheme="minorHAnsi"/>
                <w:i/>
                <w:iCs/>
              </w:rPr>
              <w:lastRenderedPageBreak/>
              <w:t>prin acordarea de granturi la nivelul unităților școlare care au persoane în situație de risc de abandon școlar sau părăsire timpurie a școlii în parteneriat sau organizațiilor neguvernamentale care furnizează servicii în sprijinul copiilor/elevilor/tinerilor din această categorie. În funcție de nevoile identificate la nivelul planurilor de intervenție specifice, se vor avea în vedere atât acțiunile orizontale cât și cele specifice pe niveluri educaționale.</w:t>
            </w:r>
          </w:p>
          <w:p w14:paraId="24547744" w14:textId="77777777" w:rsidR="00E9532E" w:rsidRPr="00C37A52" w:rsidRDefault="00E9532E" w:rsidP="0043463E">
            <w:pPr>
              <w:spacing w:line="259" w:lineRule="auto"/>
              <w:jc w:val="both"/>
              <w:rPr>
                <w:b/>
                <w:i/>
              </w:rPr>
            </w:pPr>
            <w:r w:rsidRPr="00C37A52">
              <w:rPr>
                <w:b/>
                <w:i/>
              </w:rPr>
              <w:t>Învățământ primar și gimnazial:</w:t>
            </w:r>
          </w:p>
          <w:p w14:paraId="57703A4D" w14:textId="77777777" w:rsidR="00E9532E" w:rsidRPr="00C37A52" w:rsidRDefault="00E9532E" w:rsidP="0043463E">
            <w:pPr>
              <w:pStyle w:val="ListParagraph"/>
              <w:numPr>
                <w:ilvl w:val="0"/>
                <w:numId w:val="4"/>
              </w:numPr>
              <w:jc w:val="both"/>
            </w:pPr>
            <w:r w:rsidRPr="00C37A52">
              <w:t>dezvoltarea/extinderea și creșterea calității programului „școală după școală” (SDS), complementar cu programul „masă caldă”;</w:t>
            </w:r>
          </w:p>
          <w:p w14:paraId="07798A92" w14:textId="77777777" w:rsidR="00E9532E" w:rsidRPr="00C37A52" w:rsidRDefault="00E9532E" w:rsidP="0043463E">
            <w:pPr>
              <w:spacing w:line="259" w:lineRule="auto"/>
              <w:jc w:val="both"/>
              <w:rPr>
                <w:b/>
                <w:i/>
              </w:rPr>
            </w:pPr>
            <w:r w:rsidRPr="00C37A52">
              <w:rPr>
                <w:b/>
                <w:i/>
              </w:rPr>
              <w:t>Învățământ secundar superior:</w:t>
            </w:r>
          </w:p>
          <w:p w14:paraId="5CC5BA69" w14:textId="77777777" w:rsidR="00E9532E" w:rsidRPr="00C37A52" w:rsidRDefault="00E9532E" w:rsidP="0043463E">
            <w:pPr>
              <w:pStyle w:val="ListParagraph"/>
              <w:numPr>
                <w:ilvl w:val="0"/>
                <w:numId w:val="4"/>
              </w:numPr>
              <w:jc w:val="both"/>
            </w:pPr>
            <w:r w:rsidRPr="00C37A52">
              <w:t>măsuri de sprijin pentru revenirea în sistemul de învățământ, pentru finalizarea învățământului obligatoriu, precum și pentru continuarea studiilor la un nivel superior de educație, în special pentru elevii aparținând grupurilor vulnerabile, inclusiv romi;</w:t>
            </w:r>
          </w:p>
          <w:p w14:paraId="288D30E7" w14:textId="77777777" w:rsidR="00E9532E" w:rsidRPr="00C37A52" w:rsidRDefault="00E9532E" w:rsidP="00860033">
            <w:pPr>
              <w:pStyle w:val="ListParagraph"/>
              <w:numPr>
                <w:ilvl w:val="0"/>
                <w:numId w:val="4"/>
              </w:numPr>
              <w:jc w:val="both"/>
              <w:rPr>
                <w:rFonts w:eastAsia="Times New Roman"/>
                <w:b/>
                <w:noProof/>
              </w:rPr>
            </w:pPr>
            <w:r w:rsidRPr="00C37A52">
              <w:t>dezvoltarea și extinderea Programului „A doua șansă” (ADS), pentru facilitarea finalizării învățământului obligatoriu, de către persoanele care au părăsit timpuriu școala</w:t>
            </w:r>
          </w:p>
          <w:p w14:paraId="4B99D0D4" w14:textId="77777777" w:rsidR="00E9532E" w:rsidRPr="00C37A52" w:rsidRDefault="00E9532E" w:rsidP="00860033">
            <w:pPr>
              <w:jc w:val="both"/>
              <w:rPr>
                <w:b/>
                <w:i/>
              </w:rPr>
            </w:pPr>
            <w:r w:rsidRPr="00C37A52">
              <w:rPr>
                <w:b/>
                <w:i/>
              </w:rPr>
              <w:t xml:space="preserve">Învățământ terțiar </w:t>
            </w:r>
          </w:p>
          <w:p w14:paraId="66ED36B8" w14:textId="77777777" w:rsidR="00E9532E" w:rsidRPr="00C37A52" w:rsidRDefault="00E9532E" w:rsidP="00860033">
            <w:pPr>
              <w:pStyle w:val="ListParagraph"/>
              <w:numPr>
                <w:ilvl w:val="0"/>
                <w:numId w:val="4"/>
              </w:numPr>
              <w:jc w:val="both"/>
            </w:pPr>
            <w:r w:rsidRPr="00C37A52">
              <w:rPr>
                <w:rFonts w:eastAsia="Times New Roman"/>
                <w:noProof/>
              </w:rPr>
              <w:t>m</w:t>
            </w:r>
            <w:r w:rsidRPr="00C37A52">
              <w:t>ăsuri de sprijin în vederea creșterii accesului la studii universitare</w:t>
            </w:r>
          </w:p>
          <w:p w14:paraId="35592BA7" w14:textId="77777777" w:rsidR="00E9532E" w:rsidRPr="00C37A52" w:rsidRDefault="00E9532E" w:rsidP="00860033">
            <w:pPr>
              <w:pStyle w:val="ListParagraph"/>
              <w:numPr>
                <w:ilvl w:val="0"/>
                <w:numId w:val="4"/>
              </w:numPr>
              <w:jc w:val="both"/>
              <w:rPr>
                <w:rFonts w:eastAsia="Times New Roman"/>
                <w:b/>
                <w:noProof/>
              </w:rPr>
            </w:pPr>
            <w:r w:rsidRPr="00C37A52">
              <w:t>măsuri de prevenire și combatere a abandonului universitar pentru grupurile dezavantajate/ subreprezentate de studenți</w:t>
            </w:r>
          </w:p>
        </w:tc>
        <w:tc>
          <w:tcPr>
            <w:tcW w:w="758" w:type="pct"/>
          </w:tcPr>
          <w:p w14:paraId="38EC7458" w14:textId="77777777" w:rsidR="00E9532E" w:rsidRPr="00C37A52" w:rsidRDefault="00E9532E" w:rsidP="008B6BB6">
            <w:pPr>
              <w:rPr>
                <w:b/>
              </w:rPr>
            </w:pPr>
            <w:r w:rsidRPr="00C37A52">
              <w:rPr>
                <w:rFonts w:cstheme="majorHAnsi"/>
                <w:b/>
              </w:rPr>
              <w:lastRenderedPageBreak/>
              <w:t xml:space="preserve"> </w:t>
            </w:r>
            <w:r w:rsidRPr="00C37A52">
              <w:rPr>
                <w:b/>
              </w:rPr>
              <w:t>Prioritatea - O regiune educată</w:t>
            </w:r>
          </w:p>
          <w:p w14:paraId="6238232B" w14:textId="66454C40" w:rsidR="00E9532E" w:rsidRPr="00C37A52" w:rsidRDefault="00E9532E" w:rsidP="008B6BB6">
            <w:pPr>
              <w:jc w:val="both"/>
            </w:pPr>
            <w:r w:rsidRPr="00C37A52">
              <w:rPr>
                <w:b/>
              </w:rPr>
              <w:t xml:space="preserve">Acțiunea 6.1 </w:t>
            </w:r>
            <w:r w:rsidRPr="00C37A52">
              <w:t xml:space="preserve">Dezvoltarea infrastructurii </w:t>
            </w:r>
            <w:r w:rsidR="006A70B4" w:rsidRPr="00C37A52">
              <w:t>educaționale</w:t>
            </w:r>
            <w:r w:rsidRPr="00C37A52">
              <w:t xml:space="preserve"> pentru </w:t>
            </w:r>
            <w:r w:rsidR="006A70B4" w:rsidRPr="00C37A52">
              <w:t>învățământ</w:t>
            </w:r>
            <w:r w:rsidRPr="00C37A52">
              <w:t xml:space="preserve"> timpuriu (anteprescolar si </w:t>
            </w:r>
            <w:r w:rsidR="006A70B4" w:rsidRPr="00C37A52">
              <w:t>preșcolar</w:t>
            </w:r>
            <w:r w:rsidRPr="00C37A52">
              <w:t xml:space="preserve">), </w:t>
            </w:r>
            <w:r w:rsidR="006A70B4" w:rsidRPr="00C37A52">
              <w:t>învățământ</w:t>
            </w:r>
            <w:r w:rsidRPr="00C37A52">
              <w:t xml:space="preserve"> primar si gimnazial;</w:t>
            </w:r>
          </w:p>
          <w:p w14:paraId="1EAA023D" w14:textId="77777777" w:rsidR="00E9532E" w:rsidRPr="00C37A52" w:rsidRDefault="00E9532E" w:rsidP="008B6BB6">
            <w:pPr>
              <w:jc w:val="both"/>
              <w:rPr>
                <w:rFonts w:cstheme="majorHAnsi"/>
                <w:b/>
              </w:rPr>
            </w:pPr>
          </w:p>
        </w:tc>
        <w:tc>
          <w:tcPr>
            <w:tcW w:w="855" w:type="pct"/>
          </w:tcPr>
          <w:p w14:paraId="7B249AEC" w14:textId="04D3C5AB" w:rsidR="00E9532E" w:rsidRPr="00C37A52" w:rsidRDefault="00E9532E" w:rsidP="00685321">
            <w:r w:rsidRPr="00C37A52">
              <w:rPr>
                <w:rFonts w:cstheme="minorHAnsi"/>
                <w:b/>
              </w:rPr>
              <w:t xml:space="preserve">Prioritatea 1 Dezvoltarea Locala plasata sub Responsabilitatea </w:t>
            </w:r>
            <w:r w:rsidR="006A70B4" w:rsidRPr="00C37A52">
              <w:rPr>
                <w:rFonts w:cstheme="minorHAnsi"/>
                <w:b/>
              </w:rPr>
              <w:t>Comunității</w:t>
            </w:r>
            <w:r w:rsidRPr="00C37A52">
              <w:rPr>
                <w:rFonts w:cstheme="minorHAnsi"/>
                <w:b/>
              </w:rPr>
              <w:t xml:space="preserve"> </w:t>
            </w:r>
          </w:p>
          <w:p w14:paraId="46585BDA" w14:textId="77777777" w:rsidR="00E9532E" w:rsidRPr="00C37A52" w:rsidRDefault="00E9532E" w:rsidP="00685321">
            <w:pPr>
              <w:spacing w:after="200" w:line="276" w:lineRule="auto"/>
              <w:jc w:val="both"/>
              <w:rPr>
                <w:rFonts w:eastAsia="Calibri" w:cs="Calibri"/>
                <w:b/>
              </w:rPr>
            </w:pPr>
            <w:r w:rsidRPr="00C37A52">
              <w:rPr>
                <w:rFonts w:eastAsia="Calibri" w:cs="Calibri"/>
                <w:b/>
              </w:rPr>
              <w:t>Acțiunea 1.2 Servicii sociale, de ocupare si de sănătate, combaterea abandonului școlar, incluziune; sprijinirea funcționarii GAL</w:t>
            </w:r>
          </w:p>
          <w:p w14:paraId="46C88772" w14:textId="77777777" w:rsidR="00E9532E" w:rsidRPr="00C37A52" w:rsidRDefault="00E9532E" w:rsidP="00685321">
            <w:pPr>
              <w:numPr>
                <w:ilvl w:val="0"/>
                <w:numId w:val="19"/>
              </w:numPr>
              <w:spacing w:after="200" w:line="276" w:lineRule="auto"/>
              <w:contextualSpacing/>
              <w:jc w:val="both"/>
            </w:pPr>
            <w:r w:rsidRPr="00C37A52">
              <w:lastRenderedPageBreak/>
              <w:t>Sprijin pentru dezvoltarea de servicii de educație și îngrijire pentru copii, servicii de tip before și after-school, servicii de suport educațional pentru copiii la risc de abandon școlar, servicii de sprijin educațional pentru adulții vulnerabili, în funcție de nevoile identificate în Strategiile de dezvoltare locală</w:t>
            </w:r>
          </w:p>
          <w:p w14:paraId="160104AC" w14:textId="77777777" w:rsidR="00E9532E" w:rsidRPr="00C37A52" w:rsidRDefault="00E9532E" w:rsidP="00685321">
            <w:pPr>
              <w:rPr>
                <w:rFonts w:cstheme="minorHAnsi"/>
                <w:b/>
              </w:rPr>
            </w:pPr>
          </w:p>
          <w:p w14:paraId="401CEF4F" w14:textId="77777777" w:rsidR="00E9532E" w:rsidRPr="00C37A52" w:rsidRDefault="00E9532E" w:rsidP="00685321">
            <w:pPr>
              <w:spacing w:after="200" w:line="276" w:lineRule="auto"/>
              <w:jc w:val="both"/>
              <w:rPr>
                <w:rFonts w:eastAsia="Calibri" w:cs="Calibri"/>
                <w:b/>
              </w:rPr>
            </w:pPr>
            <w:r w:rsidRPr="00C37A52">
              <w:rPr>
                <w:rFonts w:eastAsia="Calibri" w:cs="Calibri"/>
                <w:b/>
              </w:rPr>
              <w:t>Acțiunea 4.5 Sprijin pentru familiile monoparentale pentru a îmbunătăți angajabilitatea și autonomia părintelui unic</w:t>
            </w:r>
          </w:p>
          <w:p w14:paraId="311585B6" w14:textId="77777777" w:rsidR="00E9532E" w:rsidRPr="00C37A52" w:rsidRDefault="00E9532E" w:rsidP="00685321">
            <w:pPr>
              <w:rPr>
                <w:rFonts w:cstheme="minorHAnsi"/>
                <w:b/>
              </w:rPr>
            </w:pPr>
            <w:r w:rsidRPr="00C37A52">
              <w:rPr>
                <w:rFonts w:cstheme="minorHAnsi"/>
                <w:b/>
              </w:rPr>
              <w:t>-</w:t>
            </w:r>
            <w:r w:rsidRPr="00C37A52">
              <w:rPr>
                <w:rFonts w:cstheme="minorHAnsi"/>
                <w:b/>
              </w:rPr>
              <w:tab/>
            </w:r>
            <w:r w:rsidRPr="00C37A52">
              <w:t>sprijin tailor-made, adaptat nevoilor mamelor, în vederea creșterii angajabilității și autonomiei părintelui singur: acordarea de vouchere before și after school, vouchere pentru activitățile de weekend ale copiilor (sport, creație, artă), finanțarea cursurilor de recalificare pentru părintele singur cu venituri mici, care dorește schimbarea domeniului profesional etc</w:t>
            </w:r>
            <w:r w:rsidRPr="00C37A52">
              <w:rPr>
                <w:rFonts w:cstheme="minorHAnsi"/>
                <w:b/>
              </w:rPr>
              <w:t>.</w:t>
            </w:r>
          </w:p>
          <w:p w14:paraId="21B7730E" w14:textId="77777777" w:rsidR="00E9532E" w:rsidRPr="00C37A52" w:rsidRDefault="00E9532E" w:rsidP="00685321">
            <w:pPr>
              <w:rPr>
                <w:rFonts w:cstheme="minorHAnsi"/>
                <w:b/>
              </w:rPr>
            </w:pPr>
          </w:p>
          <w:p w14:paraId="15C5B50F" w14:textId="77777777" w:rsidR="00E9532E" w:rsidRPr="00C37A52" w:rsidRDefault="00E9532E" w:rsidP="00657533">
            <w:pPr>
              <w:spacing w:before="120"/>
              <w:jc w:val="both"/>
              <w:rPr>
                <w:b/>
                <w:bCs/>
                <w:iCs/>
              </w:rPr>
            </w:pPr>
            <w:r w:rsidRPr="00C37A52">
              <w:rPr>
                <w:b/>
                <w:bCs/>
                <w:iCs/>
              </w:rPr>
              <w:t>Prioritatea 3 -</w:t>
            </w:r>
            <w:r w:rsidRPr="00C37A52">
              <w:t xml:space="preserve"> </w:t>
            </w:r>
            <w:r w:rsidRPr="00C37A52">
              <w:rPr>
                <w:b/>
                <w:bCs/>
                <w:iCs/>
              </w:rPr>
              <w:t>Sprijinirea comunităților rurale fără acces sau cu acces redus la servicii primare</w:t>
            </w:r>
          </w:p>
          <w:p w14:paraId="5CBFB32D" w14:textId="77777777" w:rsidR="00E9532E" w:rsidRPr="00C37A52" w:rsidRDefault="00E9532E" w:rsidP="00657533">
            <w:pPr>
              <w:jc w:val="both"/>
              <w:rPr>
                <w:rFonts w:cstheme="minorHAnsi"/>
                <w:b/>
              </w:rPr>
            </w:pPr>
          </w:p>
          <w:p w14:paraId="41499E10" w14:textId="13C18411" w:rsidR="00E9532E" w:rsidRPr="00C37A52" w:rsidRDefault="00E9532E" w:rsidP="00657533">
            <w:pPr>
              <w:jc w:val="both"/>
              <w:rPr>
                <w:rFonts w:cstheme="minorHAnsi"/>
              </w:rPr>
            </w:pPr>
            <w:r w:rsidRPr="00C37A52">
              <w:rPr>
                <w:rFonts w:cstheme="minorHAnsi"/>
              </w:rPr>
              <w:t xml:space="preserve">Acțiunea 3.2 Servicii comunitare integrate (inclusiv suport educațional) în 2000 </w:t>
            </w:r>
            <w:r w:rsidR="004C5282" w:rsidRPr="00C37A52">
              <w:rPr>
                <w:rFonts w:cstheme="minorHAnsi"/>
              </w:rPr>
              <w:t>comunități</w:t>
            </w:r>
            <w:r w:rsidRPr="00C37A52">
              <w:rPr>
                <w:rFonts w:cstheme="minorHAnsi"/>
              </w:rPr>
              <w:t xml:space="preserve"> rurale (îngrijitori bătrâni, </w:t>
            </w:r>
            <w:r w:rsidR="004C5282" w:rsidRPr="00C37A52">
              <w:rPr>
                <w:rFonts w:cstheme="minorHAnsi"/>
              </w:rPr>
              <w:t>asistenți</w:t>
            </w:r>
            <w:r w:rsidRPr="00C37A52">
              <w:rPr>
                <w:rFonts w:cstheme="minorHAnsi"/>
              </w:rPr>
              <w:t xml:space="preserve"> sociali, asistenți medicali, mediatori școlari + sprijin FEDR mici </w:t>
            </w:r>
            <w:r w:rsidR="004C5282" w:rsidRPr="00C37A52">
              <w:rPr>
                <w:rFonts w:cstheme="minorHAnsi"/>
              </w:rPr>
              <w:t>îmbunătățiri</w:t>
            </w:r>
            <w:r w:rsidRPr="00C37A52">
              <w:rPr>
                <w:rFonts w:cstheme="minorHAnsi"/>
              </w:rPr>
              <w:t xml:space="preserve"> in  cadrul comunelor)</w:t>
            </w:r>
          </w:p>
          <w:p w14:paraId="4041A80D" w14:textId="77777777" w:rsidR="00E9532E" w:rsidRPr="00C37A52" w:rsidRDefault="00E9532E" w:rsidP="00685321">
            <w:pPr>
              <w:rPr>
                <w:rFonts w:cstheme="minorHAnsi"/>
                <w:b/>
              </w:rPr>
            </w:pPr>
          </w:p>
          <w:p w14:paraId="31D8C534" w14:textId="77777777" w:rsidR="00E9532E" w:rsidRPr="00C37A52" w:rsidRDefault="00E9532E" w:rsidP="00860033">
            <w:pPr>
              <w:jc w:val="both"/>
              <w:rPr>
                <w:b/>
                <w:bCs/>
                <w:iCs/>
              </w:rPr>
            </w:pPr>
            <w:r w:rsidRPr="00C37A52">
              <w:rPr>
                <w:b/>
                <w:bCs/>
                <w:iCs/>
              </w:rPr>
              <w:t>Prioritatea 4 - Reducerea disparităților dintre copiii la risc de sărăcie și/sau excluziune socială și ceilalți copii</w:t>
            </w:r>
          </w:p>
          <w:p w14:paraId="6412247F" w14:textId="77777777" w:rsidR="00E9532E" w:rsidRPr="00C37A52" w:rsidRDefault="00E9532E" w:rsidP="00860033">
            <w:pPr>
              <w:jc w:val="both"/>
              <w:rPr>
                <w:rFonts w:cstheme="minorHAnsi"/>
              </w:rPr>
            </w:pPr>
            <w:r w:rsidRPr="00C37A52">
              <w:rPr>
                <w:rFonts w:cstheme="minorHAnsi"/>
              </w:rPr>
              <w:t>Acțiunea 4.2 Facilitarea accesului copiilor săraci la tabere creative / sportive</w:t>
            </w:r>
          </w:p>
          <w:p w14:paraId="270EF65A" w14:textId="77777777" w:rsidR="00E9532E" w:rsidRPr="00C37A52" w:rsidRDefault="00E9532E" w:rsidP="00685321">
            <w:pPr>
              <w:rPr>
                <w:rFonts w:cstheme="minorHAnsi"/>
                <w:b/>
              </w:rPr>
            </w:pPr>
          </w:p>
          <w:p w14:paraId="040DA8D9" w14:textId="77777777" w:rsidR="00E9532E" w:rsidRPr="00C37A52" w:rsidRDefault="00E9532E" w:rsidP="00685321">
            <w:pPr>
              <w:jc w:val="both"/>
              <w:rPr>
                <w:rFonts w:cstheme="minorHAnsi"/>
                <w:b/>
              </w:rPr>
            </w:pPr>
          </w:p>
          <w:p w14:paraId="1B13519E" w14:textId="77777777" w:rsidR="00E9532E" w:rsidRPr="00C37A52" w:rsidRDefault="00E9532E" w:rsidP="00685321">
            <w:pPr>
              <w:rPr>
                <w:rFonts w:cstheme="minorHAnsi"/>
                <w:b/>
              </w:rPr>
            </w:pPr>
          </w:p>
          <w:p w14:paraId="4F2EEA7F" w14:textId="77777777" w:rsidR="00E9532E" w:rsidRPr="00C37A52" w:rsidRDefault="00E9532E" w:rsidP="00685321">
            <w:pPr>
              <w:rPr>
                <w:rFonts w:cstheme="minorHAnsi"/>
                <w:b/>
              </w:rPr>
            </w:pPr>
          </w:p>
        </w:tc>
        <w:tc>
          <w:tcPr>
            <w:tcW w:w="818" w:type="pct"/>
          </w:tcPr>
          <w:p w14:paraId="55E6EAA5" w14:textId="77777777" w:rsidR="00E9532E" w:rsidRPr="00C37A52" w:rsidRDefault="00E9532E" w:rsidP="00685321">
            <w:pPr>
              <w:rPr>
                <w:rFonts w:cstheme="minorHAnsi"/>
                <w:b/>
              </w:rPr>
            </w:pPr>
          </w:p>
        </w:tc>
      </w:tr>
      <w:tr w:rsidR="007B0761" w:rsidRPr="00C37A52" w14:paraId="076139B9" w14:textId="77777777" w:rsidTr="007B0761">
        <w:tc>
          <w:tcPr>
            <w:tcW w:w="5000" w:type="pct"/>
            <w:gridSpan w:val="5"/>
          </w:tcPr>
          <w:p w14:paraId="0E6DEE6F" w14:textId="77777777" w:rsidR="007B0761" w:rsidRPr="00137A83" w:rsidRDefault="007B0761" w:rsidP="00801BB7">
            <w:pPr>
              <w:jc w:val="both"/>
              <w:rPr>
                <w:rFonts w:cstheme="minorHAnsi"/>
                <w:b/>
                <w:color w:val="FF0000"/>
              </w:rPr>
            </w:pPr>
            <w:r w:rsidRPr="00137A83">
              <w:rPr>
                <w:rFonts w:cstheme="minorHAnsi"/>
                <w:b/>
                <w:color w:val="FF0000"/>
              </w:rPr>
              <w:lastRenderedPageBreak/>
              <w:t>În vederea scăderii riscului de părăsire timpurie a școlii, PNRR va crea cafrul legal și instituțional prin Programul Național pentru Reducerea Abandonului Școlar (PNRAS).</w:t>
            </w:r>
          </w:p>
          <w:p w14:paraId="2A60E188" w14:textId="77777777" w:rsidR="007B0761" w:rsidRPr="00137A83" w:rsidRDefault="007B0761" w:rsidP="00801BB7">
            <w:pPr>
              <w:jc w:val="both"/>
              <w:rPr>
                <w:rFonts w:cstheme="minorHAnsi"/>
                <w:color w:val="FF0000"/>
              </w:rPr>
            </w:pPr>
            <w:r w:rsidRPr="00137A83">
              <w:rPr>
                <w:rFonts w:cstheme="minorHAnsi"/>
                <w:b/>
                <w:color w:val="FF0000"/>
              </w:rPr>
              <w:t>Prin POEO Prioritatea 3 se va implementa componenta Programului care vizează mecanismul de avertizare timpurie în educație privind elevii aflați în risc de abandon școlar (MATE)</w:t>
            </w:r>
            <w:r w:rsidRPr="00137A83">
              <w:rPr>
                <w:rFonts w:cstheme="minorHAnsi"/>
                <w:color w:val="FF0000"/>
              </w:rPr>
              <w:t xml:space="preserve">, abordând măsuri integrate la nivel de școală, inclusiv măsurile pentru creșterea accesului la studii terțiare și prevenirea abandonului universitar. </w:t>
            </w:r>
          </w:p>
          <w:p w14:paraId="61B8E3A3" w14:textId="77777777" w:rsidR="007B0761" w:rsidRPr="00137A83" w:rsidRDefault="007B0761" w:rsidP="00801BB7">
            <w:pPr>
              <w:jc w:val="both"/>
              <w:rPr>
                <w:rFonts w:cstheme="minorHAnsi"/>
                <w:color w:val="FF0000"/>
              </w:rPr>
            </w:pPr>
            <w:r w:rsidRPr="00137A83">
              <w:rPr>
                <w:rFonts w:cstheme="minorHAnsi"/>
                <w:color w:val="FF0000"/>
              </w:rPr>
              <w:t xml:space="preserve"> </w:t>
            </w:r>
          </w:p>
          <w:p w14:paraId="0D01DE20" w14:textId="77777777" w:rsidR="007B0761" w:rsidRPr="00137A83" w:rsidRDefault="007B0761" w:rsidP="00801BB7">
            <w:pPr>
              <w:jc w:val="both"/>
              <w:rPr>
                <w:rFonts w:cstheme="minorHAnsi"/>
                <w:color w:val="FF0000"/>
              </w:rPr>
            </w:pPr>
            <w:r w:rsidRPr="00137A83">
              <w:rPr>
                <w:rFonts w:cstheme="minorHAnsi"/>
                <w:color w:val="FF0000"/>
              </w:rPr>
              <w:t xml:space="preserve">PNRR va asigura subvențiile de tip ”punte” (componenta a PNRAS) pentru asigurarea tranziției elevilor din clasa a 8 în învățământul secundar și vizează copiii cei mai expuși riscului de abandon școlar. </w:t>
            </w:r>
          </w:p>
          <w:p w14:paraId="1BB33969" w14:textId="77777777" w:rsidR="007B0761" w:rsidRPr="00137A83" w:rsidRDefault="007B0761" w:rsidP="00801BB7">
            <w:pPr>
              <w:jc w:val="both"/>
              <w:rPr>
                <w:rFonts w:cstheme="minorHAnsi"/>
                <w:color w:val="FF0000"/>
              </w:rPr>
            </w:pPr>
            <w:r w:rsidRPr="00137A83">
              <w:rPr>
                <w:rFonts w:cstheme="minorHAnsi"/>
                <w:color w:val="FF0000"/>
              </w:rPr>
              <w:t xml:space="preserve">Complementar, POEO va acorda astfel de subvenții și sprijin individualizat elevilor marginalizați pentru revenirea în sistemul de învățământ sau pentru continuarea studiilor pe toată durata învățământului secundar superior. </w:t>
            </w:r>
          </w:p>
          <w:p w14:paraId="45AE2512" w14:textId="77777777" w:rsidR="007B0761" w:rsidRPr="00137A83" w:rsidRDefault="007B0761" w:rsidP="00801BB7">
            <w:pPr>
              <w:jc w:val="both"/>
              <w:rPr>
                <w:rFonts w:cstheme="minorHAnsi"/>
                <w:color w:val="FF0000"/>
              </w:rPr>
            </w:pPr>
          </w:p>
          <w:p w14:paraId="44D0F8A8" w14:textId="77777777" w:rsidR="007B0761" w:rsidRPr="00137A83" w:rsidRDefault="007B0761" w:rsidP="00801BB7">
            <w:pPr>
              <w:jc w:val="both"/>
              <w:rPr>
                <w:rFonts w:cstheme="minorHAnsi"/>
                <w:color w:val="FF0000"/>
              </w:rPr>
            </w:pPr>
            <w:r w:rsidRPr="00137A83">
              <w:rPr>
                <w:rFonts w:cstheme="minorHAnsi"/>
                <w:color w:val="FF0000"/>
              </w:rPr>
              <w:t>De asemenea, PNRR propune implementarea a 2 instrumente noi (clase virtuale și consorții rurale) care asigură toate premisele accesului și participării la educații a copiilor din rural/ zone marginalizate, completând intervențiile orizontale din POEO în acest sens.</w:t>
            </w:r>
          </w:p>
          <w:p w14:paraId="1FE02C0F" w14:textId="77777777" w:rsidR="007B0761" w:rsidRPr="00137A83" w:rsidRDefault="007B0761" w:rsidP="00801BB7">
            <w:pPr>
              <w:jc w:val="both"/>
              <w:rPr>
                <w:rFonts w:cstheme="majorHAnsi"/>
                <w:b/>
                <w:color w:val="FF0000"/>
              </w:rPr>
            </w:pPr>
            <w:r w:rsidRPr="00137A83">
              <w:rPr>
                <w:rFonts w:cstheme="majorHAnsi"/>
                <w:b/>
                <w:color w:val="FF0000"/>
              </w:rPr>
              <w:t>Totodată, prin POIDS la nivelul Priorității 1 – DLRC în cadrul Strategiilor DLRC,</w:t>
            </w:r>
            <w:r w:rsidRPr="00137A83">
              <w:rPr>
                <w:b/>
                <w:bCs/>
                <w:iCs/>
                <w:color w:val="FF0000"/>
              </w:rPr>
              <w:t xml:space="preserve"> precum și prin </w:t>
            </w:r>
            <w:r w:rsidRPr="00137A83">
              <w:rPr>
                <w:rFonts w:cstheme="majorHAnsi"/>
                <w:b/>
                <w:bCs/>
                <w:iCs/>
                <w:color w:val="FF0000"/>
              </w:rPr>
              <w:t>Prioritatea 3 -</w:t>
            </w:r>
            <w:r w:rsidRPr="00137A83">
              <w:rPr>
                <w:rFonts w:cstheme="majorHAnsi"/>
                <w:b/>
                <w:color w:val="FF0000"/>
              </w:rPr>
              <w:t xml:space="preserve"> </w:t>
            </w:r>
            <w:r w:rsidRPr="00137A83">
              <w:rPr>
                <w:rFonts w:cstheme="majorHAnsi"/>
                <w:b/>
                <w:bCs/>
                <w:iCs/>
                <w:color w:val="FF0000"/>
              </w:rPr>
              <w:t>Sprijinirea comunităților rurale fără acces sau cu acces redus la servicii primare, în cadrul serviciilor comunitare integrate  pot fi dezvoltate inclusiv servicii educaționale (</w:t>
            </w:r>
            <w:r w:rsidRPr="00137A83">
              <w:rPr>
                <w:color w:val="FF0000"/>
              </w:rPr>
              <w:t>servicii de tip before și after-school, servicii de suport educațional pentru copiii la risc de abandon școlar</w:t>
            </w:r>
            <w:r w:rsidRPr="00137A83">
              <w:rPr>
                <w:rFonts w:cstheme="majorHAnsi"/>
                <w:b/>
                <w:color w:val="FF0000"/>
              </w:rPr>
              <w:t xml:space="preserve"> )</w:t>
            </w:r>
            <w:r w:rsidRPr="00137A83">
              <w:rPr>
                <w:rFonts w:cstheme="majorHAnsi"/>
                <w:b/>
                <w:bCs/>
                <w:iCs/>
                <w:color w:val="FF0000"/>
              </w:rPr>
              <w:t xml:space="preserve">, respectiv formarea de mediatori școlari care </w:t>
            </w:r>
            <w:r w:rsidRPr="00137A83">
              <w:rPr>
                <w:rFonts w:cstheme="majorHAnsi"/>
                <w:b/>
                <w:color w:val="FF0000"/>
              </w:rPr>
              <w:t>contribuie la creșterea participării și la prevenirea părăsirii timpurii a școlii. De asemenea, prin voucherele acordate familiilor monoparentale pentru creșterea angajabilității părintelui, copiii din aceste familii vor beneficia de sprijin pentru before și after school, participare la activitățile de weekend (sport, creație, artă).</w:t>
            </w:r>
          </w:p>
          <w:p w14:paraId="76070BEB" w14:textId="77777777" w:rsidR="007B0761" w:rsidRPr="00137A83" w:rsidRDefault="007B0761" w:rsidP="00801BB7">
            <w:pPr>
              <w:jc w:val="both"/>
              <w:rPr>
                <w:rFonts w:cstheme="minorHAnsi"/>
                <w:b/>
                <w:color w:val="FF0000"/>
              </w:rPr>
            </w:pPr>
            <w:r w:rsidRPr="00137A83">
              <w:rPr>
                <w:rFonts w:cstheme="majorHAnsi"/>
                <w:b/>
                <w:color w:val="FF0000"/>
              </w:rPr>
              <w:t>Prin Prioritatea 4, este vizat sprijin dedicat copiilor sărăci pentru participarea la tabere creative/ sportive</w:t>
            </w:r>
          </w:p>
        </w:tc>
      </w:tr>
      <w:tr w:rsidR="00E9532E" w:rsidRPr="00C37A52" w14:paraId="7468B7DE" w14:textId="77777777" w:rsidTr="007B0761">
        <w:tc>
          <w:tcPr>
            <w:tcW w:w="1187" w:type="pct"/>
          </w:tcPr>
          <w:p w14:paraId="37F031B8" w14:textId="77777777" w:rsidR="00E9532E" w:rsidRPr="00C37A52" w:rsidRDefault="00E9532E" w:rsidP="0043463E">
            <w:pPr>
              <w:jc w:val="both"/>
              <w:rPr>
                <w:b/>
              </w:rPr>
            </w:pPr>
            <w:r w:rsidRPr="00C37A52">
              <w:rPr>
                <w:b/>
              </w:rPr>
              <w:t>R3. Constituirea unei rute profesionale complete, facilitată de un bacalaureat reformat,  care să ofere elevilor oportunitatea unei rute deschise, cu acces la instituții de învățământ superior cu profil tehnic</w:t>
            </w:r>
          </w:p>
          <w:p w14:paraId="14B02C93" w14:textId="77777777" w:rsidR="00E9532E" w:rsidRPr="00C37A52" w:rsidRDefault="00E9532E" w:rsidP="0043463E">
            <w:pPr>
              <w:jc w:val="both"/>
              <w:rPr>
                <w:b/>
              </w:rPr>
            </w:pPr>
          </w:p>
          <w:p w14:paraId="45AAB6E1" w14:textId="6BFAC671" w:rsidR="00E9532E" w:rsidRPr="00C37A52" w:rsidRDefault="006A70B4" w:rsidP="0043463E">
            <w:pPr>
              <w:jc w:val="both"/>
            </w:pPr>
            <w:r>
              <w:t>I6</w:t>
            </w:r>
            <w:r w:rsidR="00E9532E" w:rsidRPr="00C37A52">
              <w:t xml:space="preserve">.  Scheme de sprijin pentru dezvoltarea a 10 consorții regionale (clustere de </w:t>
            </w:r>
            <w:r w:rsidRPr="00C37A52">
              <w:t>învățământ</w:t>
            </w:r>
            <w:r w:rsidR="00E9532E" w:rsidRPr="00C37A52">
              <w:t xml:space="preserve"> dual) între unitățile administrative teritoriale, unitățile de învățământ - licee și universități, camere de comerț și/sau agenți economici, alți parteneri relevanți, exclusiv pentru crearea condițiilor optime de </w:t>
            </w:r>
            <w:r w:rsidR="00E9532E" w:rsidRPr="00C37A52">
              <w:lastRenderedPageBreak/>
              <w:t>pregatire a elevilor, și pentru dezvoltarea și dotarea a 10 campusuri profesionale integrate,  liceale și universitare (infrastructură socială care să deservească învățământul dual preuniversitar și universitar tehnologic)</w:t>
            </w:r>
          </w:p>
          <w:p w14:paraId="68C14088" w14:textId="1049D3EC" w:rsidR="00E9532E" w:rsidRPr="00C37A52" w:rsidRDefault="006A70B4" w:rsidP="0043463E">
            <w:pPr>
              <w:jc w:val="both"/>
            </w:pPr>
            <w:r>
              <w:t>I7</w:t>
            </w:r>
            <w:r w:rsidR="00E9532E" w:rsidRPr="00C37A52">
              <w:t>.  Dotarea laboratoarelor de informatică din unitățile de învățământ IPT</w:t>
            </w:r>
          </w:p>
          <w:p w14:paraId="58D595FE" w14:textId="34A27EBE" w:rsidR="00E9532E" w:rsidRDefault="006A70B4" w:rsidP="0043463E">
            <w:pPr>
              <w:jc w:val="both"/>
            </w:pPr>
            <w:r>
              <w:t>I8</w:t>
            </w:r>
            <w:r w:rsidR="00E9532E" w:rsidRPr="00C37A52">
              <w:t>.  Dotarea atelierelor școlare din unitățile de învățământ IPT</w:t>
            </w:r>
          </w:p>
          <w:p w14:paraId="58E5024F" w14:textId="176F811E" w:rsidR="004C5282" w:rsidRPr="00C37A52" w:rsidRDefault="004C5282" w:rsidP="0043463E">
            <w:pPr>
              <w:jc w:val="both"/>
            </w:pPr>
            <w:r w:rsidRPr="004C5282">
              <w:t>I18. Dotarea atelierelor școlare din unitățile de învățământ IPT ( fără liceele agricole)</w:t>
            </w:r>
          </w:p>
          <w:p w14:paraId="14E82364" w14:textId="7E03ACAF" w:rsidR="00E9532E" w:rsidRPr="00C37A52" w:rsidRDefault="006A70B4" w:rsidP="0043463E">
            <w:pPr>
              <w:jc w:val="both"/>
              <w:rPr>
                <w:b/>
              </w:rPr>
            </w:pPr>
            <w:r w:rsidRPr="006A70B4">
              <w:t>I8.Investiții pentru transformarea liceelor agricole în principalele locuri de profesionalizare a viitorilor fermieri antreprenori și salariați în domeniul agriculturii.</w:t>
            </w:r>
          </w:p>
        </w:tc>
        <w:tc>
          <w:tcPr>
            <w:tcW w:w="1382" w:type="pct"/>
          </w:tcPr>
          <w:p w14:paraId="28A27F4F" w14:textId="77777777" w:rsidR="00E9532E" w:rsidRPr="00C37A52" w:rsidRDefault="00E9532E" w:rsidP="00A6072A">
            <w:pPr>
              <w:spacing w:before="80" w:after="80"/>
              <w:jc w:val="both"/>
              <w:rPr>
                <w:b/>
              </w:rPr>
            </w:pPr>
            <w:r w:rsidRPr="00C37A52">
              <w:rPr>
                <w:b/>
              </w:rPr>
              <w:lastRenderedPageBreak/>
              <w:t>Prioritatea 5 - Creșterea accesibilității, atractivității și calității învățământului profesional și tehnic</w:t>
            </w:r>
          </w:p>
          <w:p w14:paraId="7CFAB437" w14:textId="77777777" w:rsidR="00E9532E" w:rsidRPr="00C37A52" w:rsidRDefault="00E9532E" w:rsidP="00A6072A">
            <w:pPr>
              <w:numPr>
                <w:ilvl w:val="0"/>
                <w:numId w:val="4"/>
              </w:numPr>
              <w:spacing w:after="160" w:line="259" w:lineRule="auto"/>
              <w:contextualSpacing/>
              <w:jc w:val="both"/>
              <w:rPr>
                <w:i/>
              </w:rPr>
            </w:pPr>
            <w:r w:rsidRPr="00C37A52">
              <w:t xml:space="preserve">Asigurarea calității învățării la locul de muncă și certificarea rezultatelor învățării în formarea profesională inițială pentru a crește relevanța calificărilor pentru piața muncii: </w:t>
            </w:r>
            <w:r w:rsidRPr="00C37A52">
              <w:rPr>
                <w:i/>
              </w:rPr>
              <w:t xml:space="preserve">formarea profesorilor VET și a tutorilor / reprezentanților companiilor </w:t>
            </w:r>
          </w:p>
          <w:p w14:paraId="38E09CDD" w14:textId="77777777" w:rsidR="00E9532E" w:rsidRPr="00C37A52" w:rsidRDefault="00E9532E" w:rsidP="00A6072A">
            <w:pPr>
              <w:numPr>
                <w:ilvl w:val="0"/>
                <w:numId w:val="4"/>
              </w:numPr>
              <w:spacing w:line="259" w:lineRule="auto"/>
              <w:ind w:left="714" w:hanging="357"/>
              <w:jc w:val="both"/>
              <w:rPr>
                <w:i/>
              </w:rPr>
            </w:pPr>
            <w:r w:rsidRPr="00C37A52">
              <w:t xml:space="preserve">Creșterea calității și validității proceselor de predare-învățare-evaluare în ÎPT: </w:t>
            </w:r>
            <w:r w:rsidRPr="00C37A52">
              <w:rPr>
                <w:i/>
              </w:rPr>
              <w:t xml:space="preserve">extinderea implementării mecanismului de evaluare și monitorizare a politicilor </w:t>
            </w:r>
            <w:r w:rsidRPr="00C37A52">
              <w:rPr>
                <w:i/>
              </w:rPr>
              <w:lastRenderedPageBreak/>
              <w:t>publice privind FP; Realizarea mecanismului de asigurare a calității în învățarea la locul de muncă și de certificare a rezultatelor învățării</w:t>
            </w:r>
          </w:p>
          <w:p w14:paraId="1BEE9FEE" w14:textId="77777777" w:rsidR="00E9532E" w:rsidRPr="00C37A52" w:rsidRDefault="00E9532E" w:rsidP="00A6072A">
            <w:pPr>
              <w:pStyle w:val="ListParagraph"/>
              <w:numPr>
                <w:ilvl w:val="0"/>
                <w:numId w:val="4"/>
              </w:numPr>
              <w:jc w:val="both"/>
              <w:rPr>
                <w:i/>
                <w:highlight w:val="yellow"/>
              </w:rPr>
            </w:pPr>
            <w:r w:rsidRPr="00C37A52">
              <w:t xml:space="preserve">Adaptarea serviciilor educaționale adresate elevilor, studenților și personalului didactic din ÎPT (Oferta IPT) la dinamica pieței muncii (schimbări tehnologice și structurale, digitalizare etc.): </w:t>
            </w:r>
            <w:r w:rsidRPr="00C37A52">
              <w:rPr>
                <w:i/>
              </w:rPr>
              <w:t>dezvoltarea sau revizuirea calificărilor;  asigurarea resurselor materiale necesare certificării calificărilor profesionale; finanțarea operatorilor economici implicați în FPI în stagii de practică, programe de dezvoltare a competențelor antreprenoriale ale elevilor și studenților; organizarea de târguri ale firmelor de exercițiu și concursuri antreprenoriale în colaborare cu agenții economici</w:t>
            </w:r>
          </w:p>
          <w:p w14:paraId="2C7A388A" w14:textId="77777777" w:rsidR="00E9532E" w:rsidRPr="00C37A52" w:rsidRDefault="00E9532E" w:rsidP="00A6072A">
            <w:pPr>
              <w:numPr>
                <w:ilvl w:val="0"/>
                <w:numId w:val="4"/>
              </w:numPr>
              <w:tabs>
                <w:tab w:val="num" w:pos="2160"/>
              </w:tabs>
              <w:spacing w:line="259" w:lineRule="auto"/>
              <w:ind w:left="714" w:hanging="357"/>
              <w:jc w:val="both"/>
              <w:rPr>
                <w:i/>
              </w:rPr>
            </w:pPr>
            <w:r w:rsidRPr="00C37A52">
              <w:t>Dezvoltarea de programe de ÎPT de nivel terțiar, derulate în regim dual pentru calificările profesionale de nivel 4 și 5.</w:t>
            </w:r>
          </w:p>
          <w:p w14:paraId="67D7E01F" w14:textId="77777777" w:rsidR="00E9532E" w:rsidRPr="00C37A52" w:rsidRDefault="00E9532E" w:rsidP="00A6072A">
            <w:pPr>
              <w:numPr>
                <w:ilvl w:val="0"/>
                <w:numId w:val="4"/>
              </w:numPr>
              <w:tabs>
                <w:tab w:val="num" w:pos="2160"/>
              </w:tabs>
              <w:spacing w:line="259" w:lineRule="auto"/>
              <w:ind w:left="714" w:hanging="357"/>
              <w:jc w:val="both"/>
            </w:pPr>
            <w:r w:rsidRPr="00C37A52">
              <w:rPr>
                <w:bCs/>
                <w:iCs/>
              </w:rPr>
              <w:t>Măsuri de acompaniament elevi (inclusiv consiliere parentală) pentru creșterea participării la IPT și prevenirea abandonului școlar și a părăsirii timpurii a școlii la nivelul ÎPT:</w:t>
            </w:r>
            <w:r w:rsidRPr="00C37A52">
              <w:rPr>
                <w:b/>
                <w:bCs/>
                <w:i/>
                <w:iCs/>
              </w:rPr>
              <w:t xml:space="preserve"> </w:t>
            </w:r>
            <w:r w:rsidRPr="00C37A52">
              <w:rPr>
                <w:i/>
                <w:iCs/>
              </w:rPr>
              <w:t>acordarea de sprijin financiar pentru cazare, masă și transport, pentru elevii din grupuri sau medii defavorizate; programe de sprijin individualizat</w:t>
            </w:r>
          </w:p>
          <w:p w14:paraId="5FBDE4DE" w14:textId="18317E0A" w:rsidR="00E9532E" w:rsidRPr="00C37A52" w:rsidRDefault="00E9532E" w:rsidP="00A6072A">
            <w:pPr>
              <w:pStyle w:val="ListParagraph"/>
              <w:numPr>
                <w:ilvl w:val="0"/>
                <w:numId w:val="4"/>
              </w:numPr>
              <w:jc w:val="both"/>
              <w:rPr>
                <w:i/>
              </w:rPr>
            </w:pPr>
            <w:r w:rsidRPr="00C37A52">
              <w:t xml:space="preserve">Dezvoltarea de programe remediale în vederea sprijinirii elevilor din clasa a IX-a, pentru creșterea nivelului de competență în citit, matematică </w:t>
            </w:r>
            <w:r w:rsidR="004C5282" w:rsidRPr="00C37A52">
              <w:t>și</w:t>
            </w:r>
            <w:r w:rsidRPr="00C37A52">
              <w:t xml:space="preserve"> științe: </w:t>
            </w:r>
            <w:r w:rsidRPr="00C37A52">
              <w:rPr>
                <w:i/>
              </w:rPr>
              <w:t>dezvoltarea de RED; asigurarea condițiilor de sprijin necesare pentru dezvoltarea programelor remediale (mese calde, transport pentru studenți, materiale didactice etc.); asigurarea cheltuielilor profesorilor pentru furnizarea de programe remediale</w:t>
            </w:r>
          </w:p>
        </w:tc>
        <w:tc>
          <w:tcPr>
            <w:tcW w:w="758" w:type="pct"/>
          </w:tcPr>
          <w:p w14:paraId="1302102A" w14:textId="77777777" w:rsidR="00E9532E" w:rsidRPr="00C37A52" w:rsidRDefault="00E9532E" w:rsidP="009C3575">
            <w:pPr>
              <w:jc w:val="both"/>
              <w:rPr>
                <w:b/>
              </w:rPr>
            </w:pPr>
            <w:r w:rsidRPr="00C37A52">
              <w:rPr>
                <w:b/>
              </w:rPr>
              <w:lastRenderedPageBreak/>
              <w:t>Prioritatea - O regiune educată</w:t>
            </w:r>
          </w:p>
          <w:p w14:paraId="5132C3DE" w14:textId="4B971A09" w:rsidR="00E9532E" w:rsidRPr="00C37A52" w:rsidRDefault="00E9532E" w:rsidP="009C3575">
            <w:pPr>
              <w:jc w:val="both"/>
            </w:pPr>
            <w:r w:rsidRPr="00C37A52">
              <w:t xml:space="preserve">Acțiunea 6.2 Dezvoltarea infrastructurii </w:t>
            </w:r>
            <w:r w:rsidR="006A70B4" w:rsidRPr="00C37A52">
              <w:t>educaționale</w:t>
            </w:r>
            <w:r w:rsidRPr="00C37A52">
              <w:t xml:space="preserve"> pentru </w:t>
            </w:r>
            <w:r w:rsidR="006A70B4" w:rsidRPr="00C37A52">
              <w:t>învățământ</w:t>
            </w:r>
            <w:r w:rsidRPr="00C37A52">
              <w:t xml:space="preserve"> secundar superior, filiera </w:t>
            </w:r>
            <w:r w:rsidR="006A70B4" w:rsidRPr="00C37A52">
              <w:t>vocaționala</w:t>
            </w:r>
            <w:r w:rsidRPr="00C37A52">
              <w:t xml:space="preserve"> si tehnologica si </w:t>
            </w:r>
            <w:r w:rsidR="006A70B4" w:rsidRPr="00C37A52">
              <w:t>învățământ</w:t>
            </w:r>
            <w:r w:rsidRPr="00C37A52">
              <w:t xml:space="preserve"> profesional, inclusiv cel dual;</w:t>
            </w:r>
          </w:p>
        </w:tc>
        <w:tc>
          <w:tcPr>
            <w:tcW w:w="855" w:type="pct"/>
          </w:tcPr>
          <w:p w14:paraId="239106B9" w14:textId="77777777" w:rsidR="00E9532E" w:rsidRPr="00C37A52" w:rsidRDefault="00E9532E" w:rsidP="00A6072A">
            <w:pPr>
              <w:jc w:val="both"/>
              <w:rPr>
                <w:b/>
              </w:rPr>
            </w:pPr>
            <w:r w:rsidRPr="00C37A52">
              <w:rPr>
                <w:b/>
              </w:rPr>
              <w:t>NA</w:t>
            </w:r>
          </w:p>
        </w:tc>
        <w:tc>
          <w:tcPr>
            <w:tcW w:w="818" w:type="pct"/>
          </w:tcPr>
          <w:p w14:paraId="0DBBB057" w14:textId="77777777" w:rsidR="00E9532E" w:rsidRPr="00C37A52" w:rsidRDefault="00E9532E" w:rsidP="00A6072A">
            <w:pPr>
              <w:jc w:val="both"/>
              <w:rPr>
                <w:b/>
              </w:rPr>
            </w:pPr>
          </w:p>
        </w:tc>
      </w:tr>
      <w:tr w:rsidR="007B0761" w:rsidRPr="00C37A52" w14:paraId="171383C5" w14:textId="77777777" w:rsidTr="007B0761">
        <w:tc>
          <w:tcPr>
            <w:tcW w:w="5000" w:type="pct"/>
            <w:gridSpan w:val="5"/>
          </w:tcPr>
          <w:p w14:paraId="7062BDAD" w14:textId="77777777" w:rsidR="007B0761" w:rsidRPr="00137A83" w:rsidRDefault="007B0761" w:rsidP="00411382">
            <w:pPr>
              <w:jc w:val="both"/>
              <w:rPr>
                <w:color w:val="FF0000"/>
              </w:rPr>
            </w:pPr>
            <w:r w:rsidRPr="00137A83">
              <w:rPr>
                <w:color w:val="FF0000"/>
              </w:rPr>
              <w:t>PNRR va aborda reforma integrală a învățământului dual, focalizându-se pe crearea infrastructurii și a dotărilor (consorții regionale, laboratoare informatică, ateliere școală), și pe creșterea accesului elevilor din categorii defavorizate pentru finalizarea rutei completă de învățământ dual, în timp ce POEO va asigura creșterea calității și accesibilității în mod orizontal la nivelul învățământului profesional și tehnic. POEO vizează în special: formarea cadrelor didactice, a tutorilor, adaptarea ofertei ÎPT la dinamica pieței muncii; dezvoltarea și extinderea serviciilor de consiliere (CJRAE/CMBRAE, inclusiv formarea personalului din centrele de consiliere, diriginți); precum și măsuri de acompaniament elevi (acordarea de sprijin financiar pentru cazare, masă și transport, pentru elevii din grupuri sau medii defavorizate, inclusiv consiliere parentală), pentru creşterea participării şi facilitarea accesului la programele de formare și prevenirea abandonului școlar și a părăsirii timpurii a școlii la nivelul ÎPT.</w:t>
            </w:r>
          </w:p>
        </w:tc>
      </w:tr>
      <w:tr w:rsidR="00E9532E" w:rsidRPr="00C37A52" w14:paraId="594086A6" w14:textId="77777777" w:rsidTr="007B0761">
        <w:tc>
          <w:tcPr>
            <w:tcW w:w="1187" w:type="pct"/>
          </w:tcPr>
          <w:p w14:paraId="62B2E206" w14:textId="77777777" w:rsidR="00E9532E" w:rsidRPr="00C37A52" w:rsidRDefault="00E9532E" w:rsidP="0043463E">
            <w:pPr>
              <w:spacing w:after="200" w:line="276" w:lineRule="auto"/>
              <w:contextualSpacing/>
              <w:jc w:val="both"/>
              <w:rPr>
                <w:b/>
              </w:rPr>
            </w:pPr>
            <w:r w:rsidRPr="00C37A52">
              <w:rPr>
                <w:b/>
              </w:rPr>
              <w:t>R4. Adoptarea cadrului  legislativ pentru digitalizarea educației.</w:t>
            </w:r>
          </w:p>
          <w:p w14:paraId="10868176" w14:textId="4D7B9E78" w:rsidR="004C5282" w:rsidRDefault="004C5282" w:rsidP="004C5282">
            <w:pPr>
              <w:contextualSpacing/>
              <w:jc w:val="both"/>
            </w:pPr>
            <w:r>
              <w:t>I9.Program de formare continuă a personalului didactic, accesibil la nivel național, aliniat Cadrului european al competențelor digitale pentru cetățeni (DigComp), cu accent pe îmbunătățirea competențelor de pedagogie digitală ale cadrelor didactice.</w:t>
            </w:r>
          </w:p>
          <w:p w14:paraId="1A7B354B" w14:textId="77777777" w:rsidR="004C5282" w:rsidRDefault="004C5282" w:rsidP="004C5282">
            <w:pPr>
              <w:contextualSpacing/>
              <w:jc w:val="both"/>
            </w:pPr>
          </w:p>
          <w:p w14:paraId="438E1C50" w14:textId="77777777" w:rsidR="004C5282" w:rsidRDefault="004C5282" w:rsidP="004C5282">
            <w:pPr>
              <w:spacing w:after="200" w:line="276" w:lineRule="auto"/>
              <w:contextualSpacing/>
              <w:jc w:val="both"/>
            </w:pPr>
            <w:r>
              <w:t>I10.Schemă de finanțare a echipamentelor și resurselor tehnologice digitale pentru unitățile de învățământ.</w:t>
            </w:r>
          </w:p>
          <w:p w14:paraId="3DBB6972" w14:textId="77777777" w:rsidR="004C5282" w:rsidRDefault="004C5282" w:rsidP="004C5282">
            <w:pPr>
              <w:spacing w:after="200" w:line="276" w:lineRule="auto"/>
              <w:contextualSpacing/>
              <w:jc w:val="both"/>
            </w:pPr>
          </w:p>
          <w:p w14:paraId="46CEDED5" w14:textId="77777777" w:rsidR="004C5282" w:rsidRDefault="004C5282" w:rsidP="004C5282">
            <w:pPr>
              <w:contextualSpacing/>
              <w:jc w:val="both"/>
            </w:pPr>
            <w:r>
              <w:lastRenderedPageBreak/>
              <w:t>I11.Școala online: realizarea de  conținut  și instrumente educaționale digitale, prin încurajarea inovării pentru adoptarea unor soluții educaționale creative, interactive  și prin elaborarea și implementarea de programe accesibile de alfabetizare digitală pentru elevii cu dizabilități, sportivi, elevi spitalizați.</w:t>
            </w:r>
          </w:p>
          <w:p w14:paraId="6BAE7D3C" w14:textId="0947647A" w:rsidR="00E9532E" w:rsidRPr="00C37A52" w:rsidRDefault="004C5282" w:rsidP="004C5282">
            <w:pPr>
              <w:spacing w:after="200" w:line="276" w:lineRule="auto"/>
              <w:contextualSpacing/>
              <w:jc w:val="both"/>
            </w:pPr>
            <w:r>
              <w:t>I12.Schemă de finanțare pentru digitalizarea universităților</w:t>
            </w:r>
          </w:p>
        </w:tc>
        <w:tc>
          <w:tcPr>
            <w:tcW w:w="1382" w:type="pct"/>
          </w:tcPr>
          <w:p w14:paraId="20075CBC" w14:textId="77777777" w:rsidR="00E9532E" w:rsidRPr="00C37A52" w:rsidRDefault="00E9532E" w:rsidP="00512378">
            <w:pPr>
              <w:spacing w:after="120"/>
              <w:jc w:val="both"/>
              <w:rPr>
                <w:rFonts w:eastAsia="Times New Roman"/>
                <w:b/>
                <w:noProof/>
              </w:rPr>
            </w:pPr>
            <w:r w:rsidRPr="00C37A52">
              <w:rPr>
                <w:rFonts w:eastAsia="Times New Roman"/>
                <w:b/>
                <w:noProof/>
              </w:rPr>
              <w:lastRenderedPageBreak/>
              <w:t>Prioritatea 4  „Creșterea calității ofertei de educație și formare profesională pentru asigurarea echității sistemului și o mai bună adaptare la dinamica pieței muncii și la provocările inovării și progresului tehnologic.</w:t>
            </w:r>
          </w:p>
          <w:p w14:paraId="557D6E8A" w14:textId="77777777" w:rsidR="00E9532E" w:rsidRPr="00C37A52" w:rsidRDefault="00E9532E" w:rsidP="00512378">
            <w:pPr>
              <w:numPr>
                <w:ilvl w:val="0"/>
                <w:numId w:val="4"/>
              </w:numPr>
              <w:spacing w:line="276" w:lineRule="auto"/>
              <w:ind w:left="714" w:hanging="357"/>
              <w:jc w:val="both"/>
            </w:pPr>
            <w:r w:rsidRPr="00C37A52">
              <w:t xml:space="preserve">Măsuri privind </w:t>
            </w:r>
            <w:r w:rsidRPr="00C37A52">
              <w:rPr>
                <w:b/>
              </w:rPr>
              <w:t>asigurarea calității educației pentru toți</w:t>
            </w:r>
            <w:r w:rsidRPr="00C37A52">
              <w:t>, în corelație cu dinamica pieței muncii (schimbări tehnologice și structurale) și societății:</w:t>
            </w:r>
          </w:p>
          <w:p w14:paraId="48068098" w14:textId="77777777" w:rsidR="00E9532E" w:rsidRPr="00C37A52" w:rsidRDefault="00E9532E" w:rsidP="00512378">
            <w:pPr>
              <w:pStyle w:val="ListParagraph"/>
              <w:numPr>
                <w:ilvl w:val="0"/>
                <w:numId w:val="12"/>
              </w:numPr>
              <w:jc w:val="both"/>
              <w:rPr>
                <w:b/>
                <w:i/>
              </w:rPr>
            </w:pPr>
            <w:r w:rsidRPr="00C37A52">
              <w:rPr>
                <w:i/>
              </w:rPr>
              <w:t xml:space="preserve">adaptare curriculum, </w:t>
            </w:r>
          </w:p>
          <w:p w14:paraId="3C80269A" w14:textId="77777777" w:rsidR="00E9532E" w:rsidRPr="00C37A52" w:rsidRDefault="00E9532E" w:rsidP="00512378">
            <w:pPr>
              <w:pStyle w:val="ListParagraph"/>
              <w:numPr>
                <w:ilvl w:val="0"/>
                <w:numId w:val="12"/>
              </w:numPr>
              <w:jc w:val="both"/>
              <w:rPr>
                <w:b/>
                <w:i/>
              </w:rPr>
            </w:pPr>
            <w:r w:rsidRPr="00C37A52">
              <w:rPr>
                <w:i/>
              </w:rPr>
              <w:t>programe de formare inițială și continuă a personalului didactic, cu accent pe didactica specialității, dobândirea competențelor lingvistice/  antreprenoriale, a competențelor specifice și transversale)</w:t>
            </w:r>
          </w:p>
          <w:p w14:paraId="1B55C48E" w14:textId="77777777" w:rsidR="00E9532E" w:rsidRPr="00C37A52" w:rsidRDefault="00E9532E" w:rsidP="00015955">
            <w:pPr>
              <w:pStyle w:val="ListParagraph"/>
              <w:numPr>
                <w:ilvl w:val="0"/>
                <w:numId w:val="12"/>
              </w:numPr>
              <w:jc w:val="both"/>
              <w:rPr>
                <w:i/>
              </w:rPr>
            </w:pPr>
            <w:r w:rsidRPr="00C37A52">
              <w:rPr>
                <w:i/>
              </w:rPr>
              <w:lastRenderedPageBreak/>
              <w:t>furnizarea suportului necesar (materiale educaționale) pentru dezvoltarea și evaluarea competențelor cheie ale elevilor (în mod particular a competențelor digitale și antreprenoriale)</w:t>
            </w:r>
          </w:p>
          <w:p w14:paraId="4462308F" w14:textId="77777777" w:rsidR="00E9532E" w:rsidRPr="00015955" w:rsidRDefault="00E9532E" w:rsidP="00015955">
            <w:pPr>
              <w:numPr>
                <w:ilvl w:val="0"/>
                <w:numId w:val="4"/>
              </w:numPr>
              <w:spacing w:line="276" w:lineRule="auto"/>
              <w:ind w:left="714" w:hanging="357"/>
              <w:jc w:val="both"/>
            </w:pPr>
            <w:r w:rsidRPr="00015955">
              <w:t xml:space="preserve">Facilitarea </w:t>
            </w:r>
            <w:r w:rsidRPr="00015955">
              <w:rPr>
                <w:b/>
              </w:rPr>
              <w:t>accesului informat</w:t>
            </w:r>
            <w:r w:rsidRPr="00015955">
              <w:t xml:space="preserve"> și a participării active la programe de educație, în acord cu interesele elevilor/studenților, cât și cu nevoile pieței muncii</w:t>
            </w:r>
          </w:p>
          <w:p w14:paraId="05EDC7E7" w14:textId="77777777" w:rsidR="00E9532E" w:rsidRPr="00015955" w:rsidRDefault="00E9532E" w:rsidP="00015955">
            <w:pPr>
              <w:pStyle w:val="ListParagraph"/>
              <w:numPr>
                <w:ilvl w:val="0"/>
                <w:numId w:val="12"/>
              </w:numPr>
              <w:jc w:val="both"/>
              <w:rPr>
                <w:i/>
              </w:rPr>
            </w:pPr>
            <w:r w:rsidRPr="00015955">
              <w:rPr>
                <w:i/>
              </w:rPr>
              <w:t xml:space="preserve">dezvoltarea și extinderea serviciilor de consiliere și orientare profesională oferite de CJRAE/ CMBRAE/ Centrele de orientare si consiliere (formarea personalului, asigurarea dotărilor/ echipamentelor, bateriilor de teste, softurilor, platformelor digitale și a altor materiale necesare, diversificarea serviciilor oferite, etc); </w:t>
            </w:r>
          </w:p>
          <w:p w14:paraId="0E1A9641" w14:textId="77777777" w:rsidR="00E9532E" w:rsidRPr="00C37A52" w:rsidRDefault="00E9532E" w:rsidP="007263BC">
            <w:pPr>
              <w:spacing w:before="80" w:after="80"/>
              <w:jc w:val="both"/>
              <w:rPr>
                <w:b/>
              </w:rPr>
            </w:pPr>
            <w:r w:rsidRPr="00C37A52">
              <w:rPr>
                <w:b/>
              </w:rPr>
              <w:t>Prioritatea 3 - Prevenirea părăsirii timpurii a școlii și creșterea accesului și a participării grupurilor dezavantajate la educație și formare profesională</w:t>
            </w:r>
          </w:p>
          <w:p w14:paraId="2D02EAF8" w14:textId="77777777" w:rsidR="00E9532E" w:rsidRPr="00C37A52" w:rsidRDefault="00E9532E" w:rsidP="0063232E">
            <w:pPr>
              <w:pStyle w:val="ListParagraph"/>
              <w:numPr>
                <w:ilvl w:val="0"/>
                <w:numId w:val="4"/>
              </w:numPr>
              <w:jc w:val="both"/>
            </w:pPr>
            <w:r w:rsidRPr="00C37A52">
              <w:t>Îmbunătățirea accesului și a participării la educație a copiilor cu dizabilități și/sau cerințe educaționale speciale (CES):</w:t>
            </w:r>
          </w:p>
          <w:p w14:paraId="63FCFE23" w14:textId="77777777" w:rsidR="00E9532E" w:rsidRPr="00C37A52" w:rsidRDefault="00E9532E" w:rsidP="0063232E">
            <w:pPr>
              <w:pStyle w:val="ListParagraph"/>
              <w:numPr>
                <w:ilvl w:val="0"/>
                <w:numId w:val="12"/>
              </w:numPr>
              <w:jc w:val="both"/>
              <w:rPr>
                <w:i/>
              </w:rPr>
            </w:pPr>
            <w:r w:rsidRPr="00C37A52">
              <w:rPr>
                <w:i/>
              </w:rPr>
              <w:t xml:space="preserve">dezvoltare/achiziție de resurse educaționale și materiale suport pentru predare-învățare-evaluare care să sprijine centrarea pe elev și un demers didactic incluziv, inclusiv prin achiziția de soft-uri, echipamente și tehnici asistive și alte mijloace de învățare adaptate diferitelor categorii de dizabilitate/nevoi pentru copiii/ elevii/ tinerii cu dizabilități/CES; </w:t>
            </w:r>
          </w:p>
          <w:p w14:paraId="7BAE80F1" w14:textId="77777777" w:rsidR="00E9532E" w:rsidRPr="00C37A52" w:rsidRDefault="00E9532E" w:rsidP="0063232E">
            <w:pPr>
              <w:pStyle w:val="ListParagraph"/>
              <w:numPr>
                <w:ilvl w:val="0"/>
                <w:numId w:val="12"/>
              </w:numPr>
              <w:jc w:val="both"/>
              <w:rPr>
                <w:i/>
              </w:rPr>
            </w:pPr>
            <w:r w:rsidRPr="00C37A52">
              <w:rPr>
                <w:i/>
              </w:rPr>
              <w:t>accesibilizarea clădirilor/spațiilor unităților de învățământ pentru a asigura accesul persoanelor cu dizabilități/CES la educație în comunitatățile în care trăiesc;</w:t>
            </w:r>
          </w:p>
          <w:p w14:paraId="7095A3E5" w14:textId="77777777" w:rsidR="00E9532E" w:rsidRPr="00C37A52" w:rsidRDefault="00E9532E" w:rsidP="002C7D6C">
            <w:pPr>
              <w:pStyle w:val="ListParagraph"/>
              <w:numPr>
                <w:ilvl w:val="0"/>
                <w:numId w:val="4"/>
              </w:numPr>
              <w:ind w:left="714" w:hanging="357"/>
              <w:contextualSpacing w:val="0"/>
              <w:jc w:val="both"/>
              <w:rPr>
                <w:rFonts w:cstheme="minorHAnsi"/>
                <w:bCs/>
              </w:rPr>
            </w:pPr>
            <w:r w:rsidRPr="00C37A52">
              <w:rPr>
                <w:rFonts w:cstheme="minorHAnsi"/>
                <w:bCs/>
              </w:rPr>
              <w:t>Organizarea unor oportunități variate de dezvoltare profesională</w:t>
            </w:r>
            <w:r w:rsidRPr="00C37A52">
              <w:rPr>
                <w:rFonts w:cstheme="minorHAnsi"/>
              </w:rPr>
              <w:t xml:space="preserve"> </w:t>
            </w:r>
            <w:r w:rsidRPr="00C37A52">
              <w:rPr>
                <w:rFonts w:cstheme="minorHAnsi"/>
                <w:bCs/>
              </w:rPr>
              <w:t>pentru personalul didactic, în vederea asigurării unui sistem de educație incluzivă (</w:t>
            </w:r>
            <w:r w:rsidRPr="00C37A52">
              <w:rPr>
                <w:rFonts w:cstheme="minorHAnsi"/>
                <w:bCs/>
                <w:i/>
              </w:rPr>
              <w:t>formare inițială și continuă a cadrelor didactice, inclusiv pentru dezvoltarea competențelor digitale</w:t>
            </w:r>
            <w:r w:rsidRPr="00C37A52">
              <w:rPr>
                <w:rFonts w:cstheme="minorHAnsi"/>
                <w:bCs/>
              </w:rPr>
              <w:t>)</w:t>
            </w:r>
          </w:p>
          <w:p w14:paraId="37BD7C42" w14:textId="77777777" w:rsidR="00E9532E" w:rsidRPr="002C7D6C" w:rsidRDefault="00E9532E" w:rsidP="002C7D6C">
            <w:pPr>
              <w:keepNext/>
              <w:spacing w:before="120" w:after="120"/>
              <w:jc w:val="both"/>
              <w:outlineLvl w:val="1"/>
              <w:rPr>
                <w:rFonts w:eastAsia="Times New Roman" w:cs="Arial"/>
                <w:b/>
                <w:noProof/>
              </w:rPr>
            </w:pPr>
            <w:bookmarkStart w:id="0" w:name="_Toc52393355"/>
            <w:r w:rsidRPr="002C7D6C">
              <w:rPr>
                <w:rFonts w:eastAsia="Times New Roman" w:cs="Arial"/>
                <w:b/>
                <w:noProof/>
              </w:rPr>
              <w:t xml:space="preserve">Prioritatea 5 - </w:t>
            </w:r>
            <w:r w:rsidRPr="002C7D6C">
              <w:rPr>
                <w:rFonts w:eastAsia="Calibri" w:cs="Arial"/>
                <w:b/>
              </w:rPr>
              <w:t>Creșterea accesibilității, atractivității și calității învățământului profesional și tehnic</w:t>
            </w:r>
            <w:bookmarkEnd w:id="0"/>
          </w:p>
          <w:p w14:paraId="7B54B163" w14:textId="77777777" w:rsidR="00E9532E" w:rsidRPr="00C37A52" w:rsidRDefault="00E9532E" w:rsidP="002C7D6C">
            <w:pPr>
              <w:pStyle w:val="ListParagraph"/>
              <w:numPr>
                <w:ilvl w:val="0"/>
                <w:numId w:val="4"/>
              </w:numPr>
              <w:jc w:val="both"/>
              <w:rPr>
                <w:rFonts w:cstheme="minorHAnsi"/>
                <w:bCs/>
              </w:rPr>
            </w:pPr>
            <w:r w:rsidRPr="00C37A52">
              <w:rPr>
                <w:rFonts w:cstheme="minorHAnsi"/>
                <w:bCs/>
              </w:rPr>
              <w:t xml:space="preserve">Dezvoltarea de programe remediale în vederea sprijinirii elevilor din clasa a IX-a, pentru creșterea nivelului de competență în citit, matematică şi științe: </w:t>
            </w:r>
          </w:p>
          <w:p w14:paraId="7B2612C1" w14:textId="562BC9EB" w:rsidR="00E9532E" w:rsidRPr="00C37A52" w:rsidRDefault="00E9532E" w:rsidP="002C7D6C">
            <w:pPr>
              <w:pStyle w:val="ListParagraph"/>
              <w:numPr>
                <w:ilvl w:val="0"/>
                <w:numId w:val="12"/>
              </w:numPr>
              <w:jc w:val="both"/>
              <w:rPr>
                <w:i/>
              </w:rPr>
            </w:pPr>
            <w:r w:rsidRPr="00C37A52">
              <w:rPr>
                <w:i/>
              </w:rPr>
              <w:t xml:space="preserve">dezvoltarea de Resurse </w:t>
            </w:r>
            <w:r w:rsidR="004C5282" w:rsidRPr="00C37A52">
              <w:rPr>
                <w:i/>
              </w:rPr>
              <w:t>Educaționale</w:t>
            </w:r>
            <w:r w:rsidRPr="00C37A52">
              <w:rPr>
                <w:i/>
              </w:rPr>
              <w:t xml:space="preserve"> Deschise pentru elevii cu competențe scăzute în citit, matematică şi științe;</w:t>
            </w:r>
          </w:p>
        </w:tc>
        <w:tc>
          <w:tcPr>
            <w:tcW w:w="758" w:type="pct"/>
          </w:tcPr>
          <w:p w14:paraId="7EAA769D" w14:textId="77777777" w:rsidR="00E9532E" w:rsidRPr="00C37A52" w:rsidRDefault="00E9532E" w:rsidP="009C3575">
            <w:pPr>
              <w:jc w:val="both"/>
            </w:pPr>
            <w:r w:rsidRPr="00C37A52">
              <w:lastRenderedPageBreak/>
              <w:t>Prioritatea - O regiune educată</w:t>
            </w:r>
          </w:p>
          <w:p w14:paraId="6C9552A7" w14:textId="1AFEEE5C" w:rsidR="00E9532E" w:rsidRPr="00C37A52" w:rsidRDefault="00E9532E" w:rsidP="009C3575">
            <w:pPr>
              <w:jc w:val="both"/>
            </w:pPr>
            <w:r w:rsidRPr="00C37A52">
              <w:t xml:space="preserve">Acțiunea 6.1 Dezvoltarea infrastructurii </w:t>
            </w:r>
            <w:r w:rsidR="004C5282" w:rsidRPr="00C37A52">
              <w:t>educaționale</w:t>
            </w:r>
            <w:r w:rsidRPr="00C37A52">
              <w:t xml:space="preserve"> pentru </w:t>
            </w:r>
            <w:r w:rsidR="004C5282" w:rsidRPr="00C37A52">
              <w:t>învățământ</w:t>
            </w:r>
            <w:r w:rsidRPr="00C37A52">
              <w:t xml:space="preserve"> timpuriu (anteprescolar si </w:t>
            </w:r>
            <w:r w:rsidR="004C5282" w:rsidRPr="00C37A52">
              <w:t>preșcolar</w:t>
            </w:r>
            <w:r w:rsidRPr="00C37A52">
              <w:t xml:space="preserve">), </w:t>
            </w:r>
            <w:r w:rsidR="004C5282" w:rsidRPr="00C37A52">
              <w:t>învățământ</w:t>
            </w:r>
            <w:r w:rsidRPr="00C37A52">
              <w:t xml:space="preserve"> primar si gimnazial;</w:t>
            </w:r>
          </w:p>
          <w:p w14:paraId="3790C6FB" w14:textId="1227EFD1" w:rsidR="00E9532E" w:rsidRPr="00C37A52" w:rsidRDefault="00E9532E" w:rsidP="008B6BB6">
            <w:pPr>
              <w:jc w:val="both"/>
            </w:pPr>
            <w:r w:rsidRPr="00C37A52">
              <w:t xml:space="preserve">Acțiunea 6.2 Dezvoltarea infrastructurii </w:t>
            </w:r>
            <w:r w:rsidR="004C5282" w:rsidRPr="00C37A52">
              <w:t>educaționale</w:t>
            </w:r>
            <w:r w:rsidRPr="00C37A52">
              <w:t xml:space="preserve"> pentru </w:t>
            </w:r>
            <w:r w:rsidR="004C5282" w:rsidRPr="00C37A52">
              <w:t>învățământ</w:t>
            </w:r>
            <w:r w:rsidRPr="00C37A52">
              <w:t xml:space="preserve"> secundar superior, filiera </w:t>
            </w:r>
            <w:r w:rsidR="004C5282" w:rsidRPr="00C37A52">
              <w:t>vocaționala</w:t>
            </w:r>
            <w:r w:rsidRPr="00C37A52">
              <w:t xml:space="preserve"> si tehnologica si </w:t>
            </w:r>
            <w:r w:rsidR="004C5282" w:rsidRPr="00C37A52">
              <w:t>învățământ</w:t>
            </w:r>
            <w:r w:rsidRPr="00C37A52">
              <w:t xml:space="preserve"> profesional, inclusiv cel dual;</w:t>
            </w:r>
          </w:p>
          <w:p w14:paraId="482E5DD4" w14:textId="4D484793" w:rsidR="00E9532E" w:rsidRPr="00C37A52" w:rsidRDefault="00E9532E" w:rsidP="008B6BB6">
            <w:pPr>
              <w:jc w:val="both"/>
            </w:pPr>
            <w:r w:rsidRPr="00C37A52">
              <w:lastRenderedPageBreak/>
              <w:t xml:space="preserve">Acțiunea  6.3 Dezvoltarea infrastructurii de </w:t>
            </w:r>
            <w:r w:rsidR="004C5282" w:rsidRPr="00C37A52">
              <w:t>învățământ</w:t>
            </w:r>
            <w:r w:rsidRPr="00C37A52">
              <w:t xml:space="preserve"> universitar</w:t>
            </w:r>
          </w:p>
        </w:tc>
        <w:tc>
          <w:tcPr>
            <w:tcW w:w="855" w:type="pct"/>
          </w:tcPr>
          <w:p w14:paraId="35D27545" w14:textId="77777777" w:rsidR="00E9532E" w:rsidRPr="00C37A52" w:rsidRDefault="00E9532E" w:rsidP="00E738E5">
            <w:pPr>
              <w:jc w:val="both"/>
              <w:rPr>
                <w:b/>
              </w:rPr>
            </w:pPr>
            <w:r w:rsidRPr="00C37A52">
              <w:rPr>
                <w:b/>
              </w:rPr>
              <w:lastRenderedPageBreak/>
              <w:t>NA</w:t>
            </w:r>
          </w:p>
        </w:tc>
        <w:tc>
          <w:tcPr>
            <w:tcW w:w="818" w:type="pct"/>
          </w:tcPr>
          <w:p w14:paraId="65E99714" w14:textId="77777777" w:rsidR="007B0761" w:rsidRPr="004C5282" w:rsidRDefault="007B0761" w:rsidP="007B0761">
            <w:pPr>
              <w:jc w:val="both"/>
              <w:rPr>
                <w:rFonts w:ascii="Calibri" w:eastAsia="Calibri" w:hAnsi="Calibri" w:cs="Times New Roman"/>
                <w:sz w:val="20"/>
                <w:szCs w:val="20"/>
                <w:lang w:eastAsia="ro-RO"/>
              </w:rPr>
            </w:pPr>
            <w:bookmarkStart w:id="1" w:name="_Hlk71272734"/>
            <w:r w:rsidRPr="004C5282">
              <w:rPr>
                <w:rFonts w:ascii="Calibri" w:eastAsia="Calibri" w:hAnsi="Calibri" w:cs="Times New Roman"/>
                <w:b/>
                <w:bCs/>
                <w:sz w:val="20"/>
                <w:szCs w:val="20"/>
                <w:lang w:eastAsia="ro-RO"/>
              </w:rPr>
              <w:t>Prioritatea 4</w:t>
            </w:r>
            <w:r w:rsidRPr="004C5282">
              <w:rPr>
                <w:rFonts w:ascii="Calibri" w:eastAsia="Calibri" w:hAnsi="Calibri" w:cs="Times New Roman"/>
                <w:sz w:val="20"/>
                <w:szCs w:val="20"/>
                <w:lang w:eastAsia="ro-RO"/>
              </w:rPr>
              <w:t xml:space="preserve"> – Digitalizarea în educație</w:t>
            </w:r>
          </w:p>
          <w:p w14:paraId="4D55D140" w14:textId="77777777" w:rsidR="007B0761" w:rsidRPr="004C5282" w:rsidRDefault="007B0761" w:rsidP="007B0761">
            <w:pPr>
              <w:rPr>
                <w:rFonts w:ascii="Calibri" w:eastAsia="Calibri" w:hAnsi="Calibri" w:cs="Times New Roman"/>
                <w:sz w:val="20"/>
                <w:szCs w:val="20"/>
                <w:lang w:eastAsia="ro-RO"/>
              </w:rPr>
            </w:pPr>
          </w:p>
          <w:p w14:paraId="70496F2C" w14:textId="77777777" w:rsidR="007B0761" w:rsidRPr="004C5282" w:rsidRDefault="007B0761" w:rsidP="007B0761">
            <w:pPr>
              <w:rPr>
                <w:rFonts w:ascii="Calibri" w:eastAsia="Calibri" w:hAnsi="Calibri" w:cs="Times New Roman"/>
                <w:sz w:val="20"/>
                <w:szCs w:val="20"/>
                <w:lang w:eastAsia="ro-RO"/>
              </w:rPr>
            </w:pPr>
            <w:r w:rsidRPr="004C5282">
              <w:rPr>
                <w:rFonts w:ascii="Calibri" w:eastAsia="Calibri" w:hAnsi="Calibri" w:cs="Times New Roman"/>
                <w:sz w:val="20"/>
                <w:szCs w:val="20"/>
                <w:lang w:eastAsia="ro-RO"/>
              </w:rPr>
              <w:t xml:space="preserve">Lista orientativă de proiecte </w:t>
            </w:r>
            <w:bookmarkEnd w:id="1"/>
            <w:r w:rsidRPr="004C5282">
              <w:rPr>
                <w:rFonts w:ascii="Calibri" w:eastAsia="Calibri" w:hAnsi="Calibri" w:cs="Times New Roman"/>
                <w:sz w:val="20"/>
                <w:szCs w:val="20"/>
                <w:lang w:eastAsia="ro-RO"/>
              </w:rPr>
              <w:t>strategice cu impact la nivel național</w:t>
            </w:r>
          </w:p>
          <w:p w14:paraId="4C3ACC8A" w14:textId="484B11A0" w:rsidR="007B0761" w:rsidRPr="004C5282" w:rsidRDefault="007B0761" w:rsidP="007B0761">
            <w:pPr>
              <w:ind w:left="360" w:hanging="180"/>
              <w:contextualSpacing/>
              <w:jc w:val="both"/>
              <w:rPr>
                <w:rFonts w:ascii="Calibri" w:eastAsia="Calibri" w:hAnsi="Calibri" w:cs="Times New Roman"/>
                <w:sz w:val="20"/>
                <w:szCs w:val="20"/>
                <w:lang w:eastAsia="ro-RO"/>
              </w:rPr>
            </w:pPr>
            <w:r w:rsidRPr="004C5282">
              <w:rPr>
                <w:rFonts w:ascii="Calibri" w:eastAsia="Calibri" w:hAnsi="Calibri" w:cs="Times New Roman"/>
                <w:sz w:val="20"/>
                <w:szCs w:val="20"/>
                <w:lang w:eastAsia="ro-RO"/>
              </w:rPr>
              <w:t>-</w:t>
            </w:r>
            <w:r w:rsidRPr="004C5282">
              <w:rPr>
                <w:rFonts w:ascii="Times New Roman" w:eastAsia="Calibri" w:hAnsi="Times New Roman" w:cs="Times New Roman"/>
                <w:sz w:val="14"/>
                <w:szCs w:val="14"/>
                <w:lang w:eastAsia="ro-RO"/>
              </w:rPr>
              <w:t xml:space="preserve">    </w:t>
            </w:r>
            <w:r w:rsidR="004C5282">
              <w:rPr>
                <w:rFonts w:ascii="Calibri" w:eastAsia="Calibri" w:hAnsi="Calibri" w:cs="Times New Roman"/>
                <w:b/>
                <w:bCs/>
                <w:sz w:val="20"/>
                <w:szCs w:val="20"/>
                <w:lang w:eastAsia="ro-RO"/>
              </w:rPr>
              <w:t>Re</w:t>
            </w:r>
            <w:r w:rsidRPr="004C5282">
              <w:rPr>
                <w:rFonts w:ascii="Calibri" w:eastAsia="Calibri" w:hAnsi="Calibri" w:cs="Times New Roman"/>
                <w:b/>
                <w:bCs/>
                <w:sz w:val="20"/>
                <w:szCs w:val="20"/>
                <w:lang w:eastAsia="ro-RO"/>
              </w:rPr>
              <w:t xml:space="preserve">țeaua Națională pentru Educație Online (RENEO) - </w:t>
            </w:r>
            <w:r w:rsidRPr="004C5282">
              <w:rPr>
                <w:rFonts w:ascii="Calibri" w:eastAsia="Calibri" w:hAnsi="Calibri" w:cs="Times New Roman"/>
                <w:sz w:val="20"/>
                <w:szCs w:val="20"/>
                <w:lang w:eastAsia="ro-RO"/>
              </w:rPr>
              <w:t>Crearea unei rețele de centre de educație online la nivel național - furnizoare de conținut educațional de calitate  în vederea prevenirii părăsirii timpurii a școlii și a îmbunătățirii competențelor cheie ale elevilor astfel încât să se poată atinge profilul absolventului.</w:t>
            </w:r>
          </w:p>
          <w:p w14:paraId="06C5B728" w14:textId="77777777" w:rsidR="007B0761" w:rsidRPr="004C5282" w:rsidRDefault="007B0761" w:rsidP="007B0761">
            <w:pPr>
              <w:ind w:left="360" w:hanging="180"/>
              <w:contextualSpacing/>
              <w:jc w:val="both"/>
              <w:rPr>
                <w:rFonts w:ascii="Calibri" w:eastAsia="Calibri" w:hAnsi="Calibri" w:cs="Times New Roman"/>
                <w:sz w:val="20"/>
                <w:szCs w:val="20"/>
                <w:lang w:eastAsia="ro-RO"/>
              </w:rPr>
            </w:pPr>
            <w:r w:rsidRPr="004C5282">
              <w:rPr>
                <w:rFonts w:ascii="Calibri" w:eastAsia="Calibri" w:hAnsi="Calibri" w:cs="Times New Roman"/>
                <w:sz w:val="20"/>
                <w:szCs w:val="20"/>
                <w:lang w:eastAsia="ro-RO"/>
              </w:rPr>
              <w:lastRenderedPageBreak/>
              <w:t>-</w:t>
            </w:r>
            <w:r w:rsidRPr="004C5282">
              <w:rPr>
                <w:rFonts w:ascii="Times New Roman" w:eastAsia="Calibri" w:hAnsi="Times New Roman" w:cs="Times New Roman"/>
                <w:sz w:val="14"/>
                <w:szCs w:val="14"/>
                <w:lang w:eastAsia="ro-RO"/>
              </w:rPr>
              <w:t xml:space="preserve">    </w:t>
            </w:r>
            <w:r w:rsidRPr="004C5282">
              <w:rPr>
                <w:rFonts w:ascii="Calibri" w:eastAsia="Calibri" w:hAnsi="Calibri" w:cs="Times New Roman"/>
                <w:b/>
                <w:bCs/>
                <w:sz w:val="20"/>
                <w:szCs w:val="20"/>
                <w:lang w:eastAsia="ro-RO"/>
              </w:rPr>
              <w:t>Platforma națională integrată WIRELESS CAMPUS 2</w:t>
            </w:r>
            <w:r w:rsidRPr="004C5282">
              <w:rPr>
                <w:rFonts w:ascii="Calibri" w:eastAsia="Calibri" w:hAnsi="Calibri" w:cs="Times New Roman"/>
                <w:sz w:val="20"/>
                <w:szCs w:val="20"/>
                <w:lang w:eastAsia="ro-RO"/>
              </w:rPr>
              <w:t xml:space="preserve"> - Crearea unui mediu coerent, integrat, administrat și protejat centralizat, pentru a răspunde nevoilor specifice activității didactice on-line, pentru acces la resurse de interes educațional și la serviciile asociate, ca resurse critice pentru procesul educațional modern.</w:t>
            </w:r>
          </w:p>
          <w:p w14:paraId="6A103805" w14:textId="77777777" w:rsidR="007B0761" w:rsidRPr="004C5282" w:rsidRDefault="007B0761" w:rsidP="007B0761">
            <w:pPr>
              <w:ind w:left="360" w:hanging="180"/>
              <w:contextualSpacing/>
              <w:jc w:val="both"/>
              <w:rPr>
                <w:rFonts w:ascii="Calibri" w:eastAsia="Calibri" w:hAnsi="Calibri" w:cs="Times New Roman"/>
                <w:b/>
                <w:bCs/>
                <w:sz w:val="20"/>
                <w:szCs w:val="20"/>
                <w:lang w:eastAsia="ro-RO"/>
              </w:rPr>
            </w:pPr>
            <w:r w:rsidRPr="004C5282">
              <w:rPr>
                <w:rFonts w:ascii="Calibri" w:eastAsia="Calibri" w:hAnsi="Calibri" w:cs="Times New Roman"/>
                <w:sz w:val="20"/>
                <w:szCs w:val="20"/>
                <w:lang w:eastAsia="ro-RO"/>
              </w:rPr>
              <w:t>-</w:t>
            </w:r>
            <w:r w:rsidRPr="004C5282">
              <w:rPr>
                <w:rFonts w:ascii="Times New Roman" w:eastAsia="Calibri" w:hAnsi="Times New Roman" w:cs="Times New Roman"/>
                <w:sz w:val="14"/>
                <w:szCs w:val="14"/>
                <w:lang w:eastAsia="ro-RO"/>
              </w:rPr>
              <w:t xml:space="preserve">    </w:t>
            </w:r>
            <w:r w:rsidRPr="004C5282">
              <w:rPr>
                <w:rFonts w:ascii="Calibri" w:eastAsia="Calibri" w:hAnsi="Calibri" w:cs="Times New Roman"/>
                <w:b/>
                <w:bCs/>
                <w:sz w:val="20"/>
                <w:szCs w:val="20"/>
                <w:lang w:eastAsia="ro-RO"/>
              </w:rPr>
              <w:t xml:space="preserve">STEAM-TE: Știință, tehnologie și experiment în învățământul preuniversitar - </w:t>
            </w:r>
            <w:r w:rsidRPr="004C5282">
              <w:rPr>
                <w:rFonts w:ascii="Calibri" w:eastAsia="Calibri" w:hAnsi="Calibri" w:cs="Times New Roman"/>
                <w:sz w:val="20"/>
                <w:szCs w:val="20"/>
                <w:lang w:eastAsia="ro-RO"/>
              </w:rPr>
              <w:t>Dezvoltarea de competențe aplicate în știință și tehnologie, bazate pe experimente specifice, pentru elevii și studenți.</w:t>
            </w:r>
          </w:p>
          <w:p w14:paraId="0B420464" w14:textId="60680063" w:rsidR="007B0761" w:rsidRPr="004C5282" w:rsidRDefault="007B0761" w:rsidP="007B0761">
            <w:pPr>
              <w:ind w:left="360" w:hanging="180"/>
              <w:jc w:val="both"/>
              <w:rPr>
                <w:rFonts w:ascii="Calibri" w:eastAsia="Calibri" w:hAnsi="Calibri" w:cs="Times New Roman"/>
                <w:sz w:val="20"/>
                <w:szCs w:val="20"/>
                <w:lang w:eastAsia="ro-RO"/>
              </w:rPr>
            </w:pPr>
            <w:r w:rsidRPr="004C5282">
              <w:rPr>
                <w:rFonts w:ascii="Calibri" w:eastAsia="Calibri" w:hAnsi="Calibri" w:cs="Times New Roman"/>
                <w:sz w:val="20"/>
                <w:szCs w:val="20"/>
                <w:lang w:eastAsia="ro-RO"/>
              </w:rPr>
              <w:t>-</w:t>
            </w:r>
            <w:r w:rsidRPr="004C5282">
              <w:rPr>
                <w:rFonts w:ascii="Times New Roman" w:eastAsia="Calibri" w:hAnsi="Times New Roman" w:cs="Times New Roman"/>
                <w:sz w:val="14"/>
                <w:szCs w:val="14"/>
                <w:lang w:eastAsia="ro-RO"/>
              </w:rPr>
              <w:t xml:space="preserve">    </w:t>
            </w:r>
            <w:r w:rsidRPr="004C5282">
              <w:rPr>
                <w:rFonts w:ascii="Calibri" w:eastAsia="Calibri" w:hAnsi="Calibri" w:cs="Times New Roman"/>
                <w:b/>
                <w:bCs/>
                <w:sz w:val="20"/>
                <w:szCs w:val="20"/>
                <w:lang w:eastAsia="ro-RO"/>
              </w:rPr>
              <w:t>Sistem de tip Platforma Informatică Centralizată pentru Educație (SPICE)</w:t>
            </w:r>
            <w:r w:rsidRPr="004C5282">
              <w:rPr>
                <w:rFonts w:ascii="Calibri" w:eastAsia="Calibri" w:hAnsi="Calibri" w:cs="Times New Roman"/>
                <w:sz w:val="20"/>
                <w:szCs w:val="20"/>
                <w:lang w:eastAsia="ro-RO"/>
              </w:rPr>
              <w:t xml:space="preserve"> - Implementarea unor </w:t>
            </w:r>
            <w:r w:rsidR="004C5282" w:rsidRPr="004C5282">
              <w:rPr>
                <w:rFonts w:ascii="Calibri" w:eastAsia="Calibri" w:hAnsi="Calibri" w:cs="Times New Roman"/>
                <w:sz w:val="20"/>
                <w:szCs w:val="20"/>
                <w:lang w:eastAsia="ro-RO"/>
              </w:rPr>
              <w:t>soluții</w:t>
            </w:r>
            <w:r w:rsidRPr="004C5282">
              <w:rPr>
                <w:rFonts w:ascii="Calibri" w:eastAsia="Calibri" w:hAnsi="Calibri" w:cs="Times New Roman"/>
                <w:sz w:val="20"/>
                <w:szCs w:val="20"/>
                <w:lang w:eastAsia="ro-RO"/>
              </w:rPr>
              <w:t xml:space="preserve"> securizate, centralizate și standardizate de resurse IT în sistemul educațional din Romania prin digitalizarea și centralizarea tuturor informațiilor din educație precum și oferirea unei experiențe </w:t>
            </w:r>
            <w:r w:rsidR="004C5282" w:rsidRPr="004C5282">
              <w:rPr>
                <w:rFonts w:ascii="Calibri" w:eastAsia="Calibri" w:hAnsi="Calibri" w:cs="Times New Roman"/>
                <w:sz w:val="20"/>
                <w:szCs w:val="20"/>
                <w:lang w:eastAsia="ro-RO"/>
              </w:rPr>
              <w:t>îmbunătățite</w:t>
            </w:r>
            <w:r w:rsidRPr="004C5282">
              <w:rPr>
                <w:rFonts w:ascii="Calibri" w:eastAsia="Calibri" w:hAnsi="Calibri" w:cs="Times New Roman"/>
                <w:sz w:val="20"/>
                <w:szCs w:val="20"/>
                <w:lang w:eastAsia="ro-RO"/>
              </w:rPr>
              <w:t xml:space="preserve"> în procesul de învățare.</w:t>
            </w:r>
          </w:p>
          <w:p w14:paraId="7EAF2B5E" w14:textId="77777777" w:rsidR="007B0761" w:rsidRPr="004C5282" w:rsidRDefault="007B0761" w:rsidP="007B0761">
            <w:pPr>
              <w:jc w:val="both"/>
              <w:rPr>
                <w:rFonts w:ascii="Calibri" w:eastAsia="Calibri" w:hAnsi="Calibri" w:cs="Times New Roman"/>
                <w:color w:val="FF0000"/>
                <w:sz w:val="20"/>
                <w:szCs w:val="20"/>
                <w:lang w:eastAsia="ro-RO"/>
              </w:rPr>
            </w:pPr>
          </w:p>
          <w:p w14:paraId="211FBA73" w14:textId="77777777" w:rsidR="00E9532E" w:rsidRPr="004C5282" w:rsidRDefault="00E9532E" w:rsidP="007B0761">
            <w:pPr>
              <w:jc w:val="both"/>
              <w:rPr>
                <w:b/>
              </w:rPr>
            </w:pPr>
          </w:p>
        </w:tc>
      </w:tr>
      <w:tr w:rsidR="007B0761" w:rsidRPr="00C37A52" w14:paraId="28B0D7F4" w14:textId="77777777" w:rsidTr="007B0761">
        <w:tc>
          <w:tcPr>
            <w:tcW w:w="5000" w:type="pct"/>
            <w:gridSpan w:val="5"/>
          </w:tcPr>
          <w:p w14:paraId="1B7A62FA" w14:textId="77777777" w:rsidR="007B0761" w:rsidRPr="007B0761" w:rsidRDefault="007B0761" w:rsidP="00801BB7">
            <w:pPr>
              <w:jc w:val="both"/>
              <w:rPr>
                <w:color w:val="FF0000"/>
              </w:rPr>
            </w:pPr>
            <w:r w:rsidRPr="007B0761">
              <w:rPr>
                <w:color w:val="FF0000"/>
              </w:rPr>
              <w:lastRenderedPageBreak/>
              <w:t xml:space="preserve">Reformele propuse prin PNRR în domeniul digitalizării educației, precum și resursele didactice digitale care vor fi dezvoltate și puse la dispoziția școlilor (materiale auxiliare școlare în format digital, pentru toate disciplinele, conținut educațional digital, resurse digitale cu aplicații inteligente), inclusiv echipamentele pentru asigurarea învățării on-line, vor asigura cadrul pentru implementarea intervențiilor propuse prin POEO – Prioritatea 4 la nivel de școală, într-o manieră integrată, în funcție de nevoi, astfel încât să se asigure creșterea calității actului educațional. </w:t>
            </w:r>
          </w:p>
          <w:p w14:paraId="4133CE09" w14:textId="77777777" w:rsidR="007B0761" w:rsidRPr="007B0761" w:rsidRDefault="007B0761" w:rsidP="00801BB7">
            <w:pPr>
              <w:jc w:val="both"/>
              <w:rPr>
                <w:color w:val="FF0000"/>
              </w:rPr>
            </w:pPr>
            <w:r w:rsidRPr="007B0761">
              <w:rPr>
                <w:color w:val="FF0000"/>
              </w:rPr>
              <w:t>De asemenea, elaborarea și implementarea prin PNRR a unor programe accesibile de alfabetizare digitală pentru elevii cu dizabilități, precum și asigurarea accesului la lecții digitale adaptate la nevoile elevilor și cadrelor didactice cu dizabilități vor asigura  implementarea cu succes a intervențiilor POEO din cadrul Priorității 3 pentru îmbunătățirea accesului și a participării la educație a copiilor cu dizabilități și/sau cerințe educaționale speciale (CES)</w:t>
            </w:r>
          </w:p>
          <w:p w14:paraId="7B741877" w14:textId="77777777" w:rsidR="007B0761" w:rsidRPr="007B0761" w:rsidRDefault="007B0761" w:rsidP="00801BB7">
            <w:pPr>
              <w:jc w:val="both"/>
              <w:rPr>
                <w:color w:val="FF0000"/>
              </w:rPr>
            </w:pPr>
            <w:r w:rsidRPr="007B0761">
              <w:rPr>
                <w:color w:val="FF0000"/>
              </w:rPr>
              <w:t xml:space="preserve">În ceea ce privește formarea competențelor digitale ale cadrelor didactice, acestea vor fi asigurate prin PNRR, iar prin POEO se vor asigura numai competențele digitale în contextul metodelor de învățare incluzivă (Prioritatea 3). </w:t>
            </w:r>
          </w:p>
          <w:p w14:paraId="2FDB8E55" w14:textId="77777777" w:rsidR="007B0761" w:rsidRPr="007B0761" w:rsidRDefault="007B0761" w:rsidP="00801BB7">
            <w:pPr>
              <w:jc w:val="both"/>
              <w:rPr>
                <w:color w:val="FF0000"/>
              </w:rPr>
            </w:pPr>
            <w:r w:rsidRPr="007B0761">
              <w:rPr>
                <w:color w:val="FF0000"/>
              </w:rPr>
              <w:lastRenderedPageBreak/>
              <w:t xml:space="preserve">În vederea asigurării serviciilor de consiliere și orientare profesională oferite de CJRAE/ CMBRAE/ Centrele de orientare si consiliere, acestea vor fi dotate cu echipamente, baterii de teste, softuri, platforme digitale și alte materiale necesare în vederea diversificării serviciilor oferite prin POEO.  </w:t>
            </w:r>
          </w:p>
          <w:p w14:paraId="14F02B86" w14:textId="00A5156F" w:rsidR="007B0761" w:rsidRPr="007B0761" w:rsidRDefault="007B0761" w:rsidP="00801BB7">
            <w:pPr>
              <w:jc w:val="both"/>
              <w:rPr>
                <w:color w:val="FF0000"/>
              </w:rPr>
            </w:pPr>
            <w:r w:rsidRPr="007B0761">
              <w:rPr>
                <w:color w:val="FF0000"/>
              </w:rPr>
              <w:t xml:space="preserve">De asemenea, POEO vizează dezvoltarea de Resurse Educaționale Deschise pentru elevii cu competențe scăzute în citit, matematică şi științe, în cadrul Priorității 5, pentru </w:t>
            </w:r>
            <w:r w:rsidR="004C5282" w:rsidRPr="007B0761">
              <w:rPr>
                <w:color w:val="FF0000"/>
              </w:rPr>
              <w:t>creșterea</w:t>
            </w:r>
            <w:r w:rsidRPr="007B0761">
              <w:rPr>
                <w:color w:val="FF0000"/>
              </w:rPr>
              <w:t xml:space="preserve"> atractivității, accesibilității ÎPT.</w:t>
            </w:r>
          </w:p>
          <w:p w14:paraId="5CC26295" w14:textId="77777777" w:rsidR="007B0761" w:rsidRPr="007B0761" w:rsidRDefault="007B0761" w:rsidP="007B0761">
            <w:pPr>
              <w:jc w:val="both"/>
              <w:rPr>
                <w:rFonts w:ascii="Calibri" w:eastAsia="Calibri" w:hAnsi="Calibri" w:cs="Times New Roman"/>
                <w:color w:val="FF0000"/>
                <w:lang w:eastAsia="ro-RO"/>
              </w:rPr>
            </w:pPr>
            <w:r w:rsidRPr="007B0761">
              <w:rPr>
                <w:rFonts w:ascii="Calibri" w:eastAsia="Calibri" w:hAnsi="Calibri" w:cs="Times New Roman"/>
                <w:color w:val="FF0000"/>
                <w:lang w:eastAsia="ro-RO"/>
              </w:rPr>
              <w:t>Dezvoltarea competențelor digitale din PNRR (Investiții pentru dezvoltarea de capacități digitale, construirea unui ecosistem de educație digitală european care să includă conținut, instrumente, servicii și platforme, inclusiv pentru îmbunătățirea accesului la învățământul/formare de la distanță, dar și dezvoltarea de capacități digitale, construirea unui ecosistem de educație digitală european)  sunt complementare cu investițiile din P4 - Digitalizare in educație din POCIDIF (platforme la nivel național furnizoare de conținut educațional, soluții wireless campus, laboratoare pentru dezvoltare competente digitale, soluții pentru digitalizarea și centralizarea informațiilor din educație).</w:t>
            </w:r>
          </w:p>
          <w:p w14:paraId="284CE318" w14:textId="77777777" w:rsidR="007B0761" w:rsidRPr="00137A83" w:rsidRDefault="007B0761" w:rsidP="00801BB7">
            <w:pPr>
              <w:jc w:val="both"/>
              <w:rPr>
                <w:color w:val="FF0000"/>
              </w:rPr>
            </w:pPr>
          </w:p>
        </w:tc>
      </w:tr>
      <w:tr w:rsidR="00E9532E" w:rsidRPr="00C37A52" w14:paraId="612F4BB5" w14:textId="77777777" w:rsidTr="007B0761">
        <w:tc>
          <w:tcPr>
            <w:tcW w:w="1187" w:type="pct"/>
          </w:tcPr>
          <w:p w14:paraId="23596304" w14:textId="77777777" w:rsidR="00E9532E" w:rsidRPr="00C37A52" w:rsidRDefault="00E9532E" w:rsidP="0043463E">
            <w:pPr>
              <w:jc w:val="both"/>
              <w:rPr>
                <w:b/>
              </w:rPr>
            </w:pPr>
            <w:r w:rsidRPr="00C37A52">
              <w:rPr>
                <w:b/>
              </w:rPr>
              <w:lastRenderedPageBreak/>
              <w:t>R5. Modificarea și eficientizarea cadrului normativ pentru asigurarea standardelor de siguranță și calitate, prietenoase cu mediul, în unitățile de învățământ preuniversitar și universitar.</w:t>
            </w:r>
          </w:p>
          <w:p w14:paraId="30AC53E9" w14:textId="77777777" w:rsidR="004C5282" w:rsidRDefault="004C5282" w:rsidP="004C5282">
            <w:pPr>
              <w:jc w:val="both"/>
            </w:pPr>
            <w:r>
              <w:t>I13.Scheme de finanțare pentru sistemul educațional universitar pentru atingerea standardelor de siguranță și calitate.</w:t>
            </w:r>
          </w:p>
          <w:p w14:paraId="5E1BF0CD" w14:textId="77777777" w:rsidR="004C5282" w:rsidRDefault="004C5282" w:rsidP="004C5282">
            <w:pPr>
              <w:jc w:val="both"/>
            </w:pPr>
            <w:r>
              <w:t>I14.Școli verzi: Scheme de finanțare pentru tranziția către un sistem de educație sustenabil și verde.</w:t>
            </w:r>
          </w:p>
          <w:p w14:paraId="70F1DC89" w14:textId="77777777" w:rsidR="004C5282" w:rsidRDefault="004C5282" w:rsidP="004C5282">
            <w:pPr>
              <w:jc w:val="both"/>
            </w:pPr>
            <w:r>
              <w:t>I15.Asigurarea dotărilor din laboratoarele/cabinetele din sistemul preuniversitar pentru atingerea standardelor de calitate, altele decât unitățile gimnaziale și de IPT finanțate prin granturi.</w:t>
            </w:r>
          </w:p>
          <w:p w14:paraId="5275D1BB" w14:textId="09A65B79" w:rsidR="00E9532E" w:rsidRPr="00C37A52" w:rsidRDefault="004C5282" w:rsidP="004C5282">
            <w:pPr>
              <w:jc w:val="both"/>
              <w:rPr>
                <w:b/>
                <w:i/>
              </w:rPr>
            </w:pPr>
            <w:r>
              <w:t>I16.Schema de grant pentru consorții școlare rurale.</w:t>
            </w:r>
          </w:p>
        </w:tc>
        <w:tc>
          <w:tcPr>
            <w:tcW w:w="1382" w:type="pct"/>
          </w:tcPr>
          <w:p w14:paraId="0CFBC762" w14:textId="77777777" w:rsidR="00E9532E" w:rsidRPr="00C37A52" w:rsidRDefault="00E9532E" w:rsidP="00721E42">
            <w:pPr>
              <w:jc w:val="both"/>
              <w:rPr>
                <w:rFonts w:eastAsia="Times New Roman"/>
                <w:b/>
                <w:lang w:eastAsia="en-GB"/>
              </w:rPr>
            </w:pPr>
            <w:r w:rsidRPr="00C37A52">
              <w:rPr>
                <w:rFonts w:eastAsia="Times New Roman"/>
                <w:b/>
                <w:lang w:eastAsia="en-GB"/>
              </w:rPr>
              <w:t>NA</w:t>
            </w:r>
          </w:p>
        </w:tc>
        <w:tc>
          <w:tcPr>
            <w:tcW w:w="758" w:type="pct"/>
          </w:tcPr>
          <w:p w14:paraId="321CA2EA" w14:textId="77777777" w:rsidR="00E9532E" w:rsidRPr="00C37A52" w:rsidRDefault="00E9532E" w:rsidP="008B6BB6">
            <w:pPr>
              <w:rPr>
                <w:b/>
              </w:rPr>
            </w:pPr>
            <w:r w:rsidRPr="00C37A52">
              <w:rPr>
                <w:b/>
              </w:rPr>
              <w:t>Prioritatea - O regiune educată</w:t>
            </w:r>
          </w:p>
          <w:p w14:paraId="0FA2BA36" w14:textId="68422701" w:rsidR="00E9532E" w:rsidRPr="00C37A52" w:rsidRDefault="00E9532E" w:rsidP="008B6BB6">
            <w:pPr>
              <w:jc w:val="both"/>
            </w:pPr>
            <w:r w:rsidRPr="00C37A52">
              <w:rPr>
                <w:b/>
              </w:rPr>
              <w:t xml:space="preserve">Acțiunea 6.1 </w:t>
            </w:r>
            <w:r w:rsidRPr="00C37A52">
              <w:t xml:space="preserve">Dezvoltarea infrastructurii </w:t>
            </w:r>
            <w:r w:rsidR="004C5282" w:rsidRPr="00C37A52">
              <w:t>educaționale</w:t>
            </w:r>
            <w:r w:rsidRPr="00C37A52">
              <w:t xml:space="preserve"> pentru </w:t>
            </w:r>
            <w:r w:rsidR="004C5282" w:rsidRPr="00C37A52">
              <w:t>învățământ</w:t>
            </w:r>
            <w:r w:rsidRPr="00C37A52">
              <w:t xml:space="preserve"> timpuriu (anteprescolar si </w:t>
            </w:r>
            <w:r w:rsidR="004C5282" w:rsidRPr="00C37A52">
              <w:t>preșcolar</w:t>
            </w:r>
            <w:r w:rsidRPr="00C37A52">
              <w:t xml:space="preserve">), </w:t>
            </w:r>
            <w:r w:rsidR="004C5282" w:rsidRPr="00C37A52">
              <w:t>învățământ</w:t>
            </w:r>
            <w:r w:rsidRPr="00C37A52">
              <w:t xml:space="preserve"> primar si gimnazial;</w:t>
            </w:r>
          </w:p>
          <w:p w14:paraId="70CE5CDE" w14:textId="2BBF7423" w:rsidR="00E9532E" w:rsidRPr="00C37A52" w:rsidRDefault="00E9532E" w:rsidP="008B6BB6">
            <w:pPr>
              <w:jc w:val="both"/>
            </w:pPr>
            <w:r w:rsidRPr="00C37A52">
              <w:rPr>
                <w:b/>
              </w:rPr>
              <w:t xml:space="preserve">Acțiunea 6.2 </w:t>
            </w:r>
            <w:r w:rsidRPr="00C37A52">
              <w:t xml:space="preserve">Dezvoltarea infrastructurii </w:t>
            </w:r>
            <w:r w:rsidR="004C5282" w:rsidRPr="00C37A52">
              <w:t>educaționale</w:t>
            </w:r>
            <w:r w:rsidRPr="00C37A52">
              <w:t xml:space="preserve"> pentru </w:t>
            </w:r>
            <w:r w:rsidR="004C5282" w:rsidRPr="00C37A52">
              <w:t>învățământ</w:t>
            </w:r>
            <w:r w:rsidRPr="00C37A52">
              <w:t xml:space="preserve"> secundar superior, filiera </w:t>
            </w:r>
            <w:r w:rsidR="004C5282" w:rsidRPr="00C37A52">
              <w:t>vocaționala</w:t>
            </w:r>
            <w:r w:rsidRPr="00C37A52">
              <w:t xml:space="preserve"> si tehnologica si </w:t>
            </w:r>
            <w:r w:rsidR="004C5282" w:rsidRPr="00C37A52">
              <w:t>învățământ</w:t>
            </w:r>
            <w:r w:rsidRPr="00C37A52">
              <w:t xml:space="preserve"> profesional, inclusiv cel dual;</w:t>
            </w:r>
          </w:p>
          <w:p w14:paraId="37CD93C8" w14:textId="30D6A937" w:rsidR="00E9532E" w:rsidRPr="00C37A52" w:rsidRDefault="00E9532E" w:rsidP="008B6BB6">
            <w:pPr>
              <w:jc w:val="both"/>
            </w:pPr>
            <w:r w:rsidRPr="00C37A52">
              <w:rPr>
                <w:b/>
              </w:rPr>
              <w:t xml:space="preserve">Acțiunea  6.3 </w:t>
            </w:r>
            <w:r w:rsidRPr="00C37A52">
              <w:t xml:space="preserve">Dezvoltarea infrastructurii de </w:t>
            </w:r>
            <w:r w:rsidR="004C5282" w:rsidRPr="00C37A52">
              <w:t>învățământ</w:t>
            </w:r>
            <w:r w:rsidRPr="00C37A52">
              <w:t xml:space="preserve"> universitar</w:t>
            </w:r>
          </w:p>
          <w:p w14:paraId="64AB1F1E" w14:textId="77777777" w:rsidR="00E9532E" w:rsidRPr="00C37A52" w:rsidRDefault="00E9532E" w:rsidP="0027055D">
            <w:pPr>
              <w:jc w:val="both"/>
            </w:pPr>
          </w:p>
        </w:tc>
        <w:tc>
          <w:tcPr>
            <w:tcW w:w="855" w:type="pct"/>
          </w:tcPr>
          <w:p w14:paraId="13D5BC56" w14:textId="77777777" w:rsidR="00E9532E" w:rsidRPr="00C37A52" w:rsidRDefault="00E9532E" w:rsidP="007F17EF">
            <w:pPr>
              <w:jc w:val="both"/>
              <w:rPr>
                <w:b/>
              </w:rPr>
            </w:pPr>
            <w:r w:rsidRPr="00C37A52">
              <w:rPr>
                <w:b/>
              </w:rPr>
              <w:t>NA</w:t>
            </w:r>
          </w:p>
        </w:tc>
        <w:tc>
          <w:tcPr>
            <w:tcW w:w="818" w:type="pct"/>
          </w:tcPr>
          <w:p w14:paraId="09A6DB14" w14:textId="77777777" w:rsidR="00E9532E" w:rsidRPr="00C37A52" w:rsidRDefault="00E9532E" w:rsidP="007F17EF">
            <w:pPr>
              <w:jc w:val="both"/>
              <w:rPr>
                <w:b/>
              </w:rPr>
            </w:pPr>
          </w:p>
        </w:tc>
      </w:tr>
      <w:tr w:rsidR="007B0761" w:rsidRPr="00C37A52" w14:paraId="75B59F6D" w14:textId="77777777" w:rsidTr="007B0761">
        <w:tc>
          <w:tcPr>
            <w:tcW w:w="5000" w:type="pct"/>
            <w:gridSpan w:val="5"/>
          </w:tcPr>
          <w:p w14:paraId="6E78367E" w14:textId="0552ECF8" w:rsidR="007B0761" w:rsidRPr="00137A83" w:rsidRDefault="007B0761" w:rsidP="0047772B">
            <w:pPr>
              <w:jc w:val="both"/>
              <w:rPr>
                <w:color w:val="FF0000"/>
              </w:rPr>
            </w:pPr>
            <w:r w:rsidRPr="00137A83">
              <w:rPr>
                <w:b/>
                <w:bCs/>
                <w:color w:val="FF0000"/>
              </w:rPr>
              <w:t xml:space="preserve">Programele </w:t>
            </w:r>
            <w:r w:rsidR="00E8258D" w:rsidRPr="00137A83">
              <w:rPr>
                <w:b/>
                <w:bCs/>
                <w:color w:val="FF0000"/>
              </w:rPr>
              <w:t>Operaționale</w:t>
            </w:r>
            <w:r w:rsidRPr="00137A83">
              <w:rPr>
                <w:b/>
                <w:bCs/>
                <w:color w:val="FF0000"/>
              </w:rPr>
              <w:t xml:space="preserve"> Regionale</w:t>
            </w:r>
            <w:r w:rsidRPr="00137A83">
              <w:rPr>
                <w:color w:val="FF0000"/>
              </w:rPr>
              <w:t xml:space="preserve"> vor asigura </w:t>
            </w:r>
            <w:r w:rsidR="00E8258D" w:rsidRPr="00137A83">
              <w:rPr>
                <w:color w:val="FF0000"/>
              </w:rPr>
              <w:t>investițiile</w:t>
            </w:r>
            <w:r w:rsidRPr="00137A83">
              <w:rPr>
                <w:color w:val="FF0000"/>
              </w:rPr>
              <w:t xml:space="preserve"> în infrastructuri educaționale pentru toate nivelurile de învățământ pornind de la nevoile regionale și în acord cu standardele de siguranță și calitate dezvoltate prin PNRR. Totodată,  investițiile PNRR în infrastructuri educaționale vor fi legate de reformele propuse pe toate nivelurile de învățământ,  printr-o prioritizare a nevoilor la nivel național. Astfel, prin investițiile PNRR se vor asigura  dotările necesare la nivelul unităților școlare și universitare pentru atingerea standardelor de calitate, reziliența și eficiența energetică a școlilor, tranziția la școli verzi și mobilitate verde prin microbuze/autobuze electrice și/sau hibride, precum și digitalizarea educației. </w:t>
            </w:r>
          </w:p>
          <w:p w14:paraId="14CF7484" w14:textId="77777777" w:rsidR="007B0761" w:rsidRPr="00137A83" w:rsidRDefault="007B0761" w:rsidP="0047772B">
            <w:pPr>
              <w:jc w:val="both"/>
              <w:rPr>
                <w:b/>
                <w:bCs/>
                <w:color w:val="FF0000"/>
              </w:rPr>
            </w:pPr>
            <w:r w:rsidRPr="00137A83">
              <w:rPr>
                <w:color w:val="FF0000"/>
              </w:rPr>
              <w:t>Investițiile POR și PNRR în infrastructura școlară vor asigura crearea unei baze moderne și accesibile de învățare pentru toate categoriile de elevi, precum și suportul necesar pentru implementarea investițiilor FSE+  în servicii educaționale sau de sprijin socio-educațional pentru copii și elevi, așa  cum sunt prevăzute în cadrul Programelor Operaționale Educație și Ocupare și Incluziune și Demnitate Socială.</w:t>
            </w:r>
          </w:p>
        </w:tc>
      </w:tr>
      <w:tr w:rsidR="00E9532E" w:rsidRPr="00C37A52" w14:paraId="3A39EAEE" w14:textId="77777777" w:rsidTr="007B0761">
        <w:tc>
          <w:tcPr>
            <w:tcW w:w="1187" w:type="pct"/>
          </w:tcPr>
          <w:p w14:paraId="53B210A2" w14:textId="77777777" w:rsidR="00E9532E" w:rsidRPr="00C37A52" w:rsidRDefault="00E9532E" w:rsidP="00685321">
            <w:pPr>
              <w:jc w:val="both"/>
              <w:rPr>
                <w:b/>
              </w:rPr>
            </w:pPr>
            <w:r w:rsidRPr="00C37A52">
              <w:rPr>
                <w:b/>
              </w:rPr>
              <w:t>R6. Reforma guvernanței sistemului de învățământ preuniversitar și profesionalizarea managementului în condițiile unei autonomii sporite a școlilor.</w:t>
            </w:r>
          </w:p>
          <w:p w14:paraId="7134F063" w14:textId="6E3F0A69" w:rsidR="00E9532E" w:rsidRPr="00C37A52" w:rsidRDefault="004C5282" w:rsidP="00685321">
            <w:pPr>
              <w:jc w:val="both"/>
            </w:pPr>
            <w:r>
              <w:t>I17</w:t>
            </w:r>
            <w:r w:rsidR="00E9532E" w:rsidRPr="00C37A52">
              <w:t>. Măsuri de sprijin pentru reformarea guvernantei și asigurarea unui management de calitate la nivelul unităților de învățământ preuniversitar.</w:t>
            </w:r>
          </w:p>
        </w:tc>
        <w:tc>
          <w:tcPr>
            <w:tcW w:w="1382" w:type="pct"/>
          </w:tcPr>
          <w:p w14:paraId="16F7087E" w14:textId="77777777" w:rsidR="00E9532E" w:rsidRPr="00C37A52" w:rsidRDefault="00E9532E" w:rsidP="00721E42">
            <w:pPr>
              <w:jc w:val="both"/>
              <w:rPr>
                <w:rFonts w:eastAsia="Times New Roman"/>
                <w:b/>
                <w:lang w:eastAsia="en-GB"/>
              </w:rPr>
            </w:pPr>
            <w:r w:rsidRPr="00C37A52">
              <w:rPr>
                <w:rFonts w:eastAsia="Times New Roman"/>
                <w:b/>
                <w:lang w:eastAsia="en-GB"/>
              </w:rPr>
              <w:t>Prioritatea 4 Creșterea calității ofertei de educație si formare profesională pentru asigurarea echității sistemului si o mai bună adaptare la dinamica pieței muncii și la provocările inovării și progresului tehnologic</w:t>
            </w:r>
          </w:p>
          <w:p w14:paraId="1E0D8D70" w14:textId="77777777" w:rsidR="00E9532E" w:rsidRPr="00C37A52" w:rsidRDefault="00E9532E" w:rsidP="00A77E69">
            <w:pPr>
              <w:numPr>
                <w:ilvl w:val="0"/>
                <w:numId w:val="20"/>
              </w:numPr>
              <w:autoSpaceDE w:val="0"/>
              <w:autoSpaceDN w:val="0"/>
              <w:adjustRightInd w:val="0"/>
              <w:spacing w:before="120"/>
              <w:contextualSpacing/>
              <w:jc w:val="both"/>
              <w:rPr>
                <w:rFonts w:cstheme="minorHAnsi"/>
                <w:b/>
                <w:bCs/>
              </w:rPr>
            </w:pPr>
            <w:r w:rsidRPr="00C37A52">
              <w:rPr>
                <w:rFonts w:cstheme="minorHAnsi"/>
                <w:b/>
                <w:bCs/>
              </w:rPr>
              <w:t xml:space="preserve">Creșterea gradului de bună guvernare a instituțiilor de învățământ </w:t>
            </w:r>
            <w:r w:rsidRPr="00C37A52">
              <w:rPr>
                <w:rFonts w:cstheme="minorHAnsi"/>
                <w:iCs/>
              </w:rPr>
              <w:t>superior</w:t>
            </w:r>
            <w:r w:rsidRPr="00C37A52">
              <w:rPr>
                <w:rFonts w:cstheme="minorHAnsi"/>
                <w:b/>
                <w:bCs/>
              </w:rPr>
              <w:t xml:space="preserve"> și de participare a studenților în procesele decizionale</w:t>
            </w:r>
          </w:p>
          <w:p w14:paraId="08F7B5FE" w14:textId="77777777" w:rsidR="00E9532E" w:rsidRPr="00C37A52" w:rsidRDefault="00E9532E" w:rsidP="00A77E69">
            <w:pPr>
              <w:contextualSpacing/>
              <w:jc w:val="both"/>
              <w:rPr>
                <w:rFonts w:cstheme="minorHAnsi"/>
                <w:iCs/>
              </w:rPr>
            </w:pPr>
            <w:r w:rsidRPr="00C37A52">
              <w:rPr>
                <w:rFonts w:cstheme="minorHAnsi"/>
                <w:iCs/>
              </w:rPr>
              <w:t xml:space="preserve">Tipuri de sub-acțiuni: </w:t>
            </w:r>
          </w:p>
          <w:p w14:paraId="220D7C82" w14:textId="77777777" w:rsidR="00E9532E" w:rsidRPr="00C37A52" w:rsidRDefault="00E9532E" w:rsidP="00A77E69">
            <w:pPr>
              <w:numPr>
                <w:ilvl w:val="0"/>
                <w:numId w:val="21"/>
              </w:numPr>
              <w:autoSpaceDE w:val="0"/>
              <w:autoSpaceDN w:val="0"/>
              <w:adjustRightInd w:val="0"/>
              <w:spacing w:before="120"/>
              <w:contextualSpacing/>
              <w:jc w:val="both"/>
              <w:rPr>
                <w:rFonts w:cstheme="minorHAnsi"/>
                <w:iCs/>
              </w:rPr>
            </w:pPr>
            <w:r w:rsidRPr="00C37A52">
              <w:rPr>
                <w:rFonts w:cstheme="minorHAnsi"/>
                <w:iCs/>
              </w:rPr>
              <w:t xml:space="preserve">Dezvoltarea unei culturi a transparenței în unitățile de învățământ; </w:t>
            </w:r>
          </w:p>
          <w:p w14:paraId="7A6E59A5" w14:textId="77777777" w:rsidR="00E9532E" w:rsidRPr="00C37A52" w:rsidRDefault="00E9532E" w:rsidP="00A77E69">
            <w:pPr>
              <w:numPr>
                <w:ilvl w:val="0"/>
                <w:numId w:val="21"/>
              </w:numPr>
              <w:autoSpaceDE w:val="0"/>
              <w:autoSpaceDN w:val="0"/>
              <w:adjustRightInd w:val="0"/>
              <w:spacing w:before="120"/>
              <w:contextualSpacing/>
              <w:jc w:val="both"/>
              <w:rPr>
                <w:rFonts w:cstheme="minorHAnsi"/>
                <w:iCs/>
              </w:rPr>
            </w:pPr>
            <w:r w:rsidRPr="00C37A52">
              <w:rPr>
                <w:rFonts w:cstheme="minorHAnsi"/>
                <w:iCs/>
              </w:rPr>
              <w:t xml:space="preserve">Eficientizarea managementului unităților de învățământ (elaborarea unei strategii privind eficientizarea managementului; dezvoltarea unor programe de formare profesională continuă a cadrelor didactice cu funcții de conducere, îndrumare și control; pilotarea unor sisteme noi de management universitar, precum și elaborarea ulterioară a unor ghiduri de bună practică; dezvoltarea de parteneriate între universități și agenți economici, organizații publice și private); </w:t>
            </w:r>
          </w:p>
          <w:p w14:paraId="767207A6" w14:textId="77777777" w:rsidR="00E9532E" w:rsidRPr="00C37A52" w:rsidRDefault="00E9532E" w:rsidP="00A77E69">
            <w:pPr>
              <w:numPr>
                <w:ilvl w:val="0"/>
                <w:numId w:val="21"/>
              </w:numPr>
              <w:autoSpaceDE w:val="0"/>
              <w:autoSpaceDN w:val="0"/>
              <w:adjustRightInd w:val="0"/>
              <w:spacing w:before="120"/>
              <w:contextualSpacing/>
              <w:jc w:val="both"/>
              <w:rPr>
                <w:rFonts w:cstheme="minorHAnsi"/>
                <w:iCs/>
              </w:rPr>
            </w:pPr>
            <w:r w:rsidRPr="00C37A52">
              <w:rPr>
                <w:rFonts w:cstheme="minorHAnsi"/>
                <w:iCs/>
              </w:rPr>
              <w:t xml:space="preserve">Dezvoltarea formelor asociative ale studenților, în vederea creșterii gradului de implicare a studenților în procesele de luare a deciziilor la nivel central, local, precum și în instituțiile de învățamânt; </w:t>
            </w:r>
          </w:p>
          <w:p w14:paraId="0F9C5D20" w14:textId="77777777" w:rsidR="00E9532E" w:rsidRPr="00C37A52" w:rsidRDefault="00E9532E" w:rsidP="00721E42">
            <w:pPr>
              <w:jc w:val="both"/>
              <w:rPr>
                <w:rFonts w:eastAsia="Times New Roman"/>
                <w:b/>
                <w:lang w:eastAsia="en-GB"/>
              </w:rPr>
            </w:pPr>
          </w:p>
        </w:tc>
        <w:tc>
          <w:tcPr>
            <w:tcW w:w="758" w:type="pct"/>
          </w:tcPr>
          <w:p w14:paraId="7CAD44CD" w14:textId="77777777" w:rsidR="00E9532E" w:rsidRPr="00C37A52" w:rsidRDefault="00E9532E" w:rsidP="007F17EF">
            <w:pPr>
              <w:jc w:val="both"/>
              <w:rPr>
                <w:b/>
              </w:rPr>
            </w:pPr>
            <w:r w:rsidRPr="00C37A52">
              <w:rPr>
                <w:b/>
              </w:rPr>
              <w:t>NA</w:t>
            </w:r>
          </w:p>
        </w:tc>
        <w:tc>
          <w:tcPr>
            <w:tcW w:w="855" w:type="pct"/>
          </w:tcPr>
          <w:p w14:paraId="1E3564CF" w14:textId="77777777" w:rsidR="00E9532E" w:rsidRPr="00C37A52" w:rsidRDefault="00E9532E" w:rsidP="007F17EF">
            <w:pPr>
              <w:jc w:val="both"/>
              <w:rPr>
                <w:b/>
              </w:rPr>
            </w:pPr>
            <w:r w:rsidRPr="00C37A52">
              <w:rPr>
                <w:b/>
              </w:rPr>
              <w:t>NA</w:t>
            </w:r>
          </w:p>
        </w:tc>
        <w:tc>
          <w:tcPr>
            <w:tcW w:w="818" w:type="pct"/>
          </w:tcPr>
          <w:p w14:paraId="01692841" w14:textId="77777777" w:rsidR="00E9532E" w:rsidRPr="00C37A52" w:rsidRDefault="00E9532E" w:rsidP="007F17EF">
            <w:pPr>
              <w:jc w:val="both"/>
              <w:rPr>
                <w:b/>
              </w:rPr>
            </w:pPr>
          </w:p>
        </w:tc>
      </w:tr>
      <w:tr w:rsidR="007B0761" w:rsidRPr="00C37A52" w14:paraId="3B6BF910" w14:textId="77777777" w:rsidTr="007B0761">
        <w:tc>
          <w:tcPr>
            <w:tcW w:w="5000" w:type="pct"/>
            <w:gridSpan w:val="5"/>
          </w:tcPr>
          <w:p w14:paraId="5AF67178" w14:textId="77777777" w:rsidR="007B0761" w:rsidRPr="00137A83" w:rsidRDefault="007B0761" w:rsidP="007F17EF">
            <w:pPr>
              <w:jc w:val="both"/>
              <w:rPr>
                <w:color w:val="FF0000"/>
              </w:rPr>
            </w:pPr>
            <w:r w:rsidRPr="00137A83">
              <w:rPr>
                <w:color w:val="FF0000"/>
              </w:rPr>
              <w:lastRenderedPageBreak/>
              <w:t>În vederea asigurării unui management instituțional de calitate la toate nivelurile, prin POEO este abordată buna guvernanță a instituțiilor de învățământ superior, în timp ce PNRR asigură reforma sistemului de guvernanța preuniversitar.</w:t>
            </w:r>
          </w:p>
        </w:tc>
      </w:tr>
    </w:tbl>
    <w:p w14:paraId="383EA6F1" w14:textId="77777777" w:rsidR="00663A55" w:rsidRPr="00C37A52" w:rsidRDefault="00663A55" w:rsidP="00663A55">
      <w:pPr>
        <w:jc w:val="both"/>
      </w:pPr>
    </w:p>
    <w:sectPr w:rsidR="00663A55" w:rsidRPr="00C37A52" w:rsidSect="00843FD1">
      <w:footerReference w:type="default" r:id="rId8"/>
      <w:pgSz w:w="23814" w:h="16839" w:orient="landscape" w:code="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440EF" w14:textId="77777777" w:rsidR="00AA55E8" w:rsidRDefault="00AA55E8" w:rsidP="001C2297">
      <w:pPr>
        <w:spacing w:after="0" w:line="240" w:lineRule="auto"/>
      </w:pPr>
      <w:r>
        <w:separator/>
      </w:r>
    </w:p>
  </w:endnote>
  <w:endnote w:type="continuationSeparator" w:id="0">
    <w:p w14:paraId="7E978CA6" w14:textId="77777777" w:rsidR="00AA55E8" w:rsidRDefault="00AA55E8" w:rsidP="001C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79100"/>
      <w:docPartObj>
        <w:docPartGallery w:val="Page Numbers (Bottom of Page)"/>
        <w:docPartUnique/>
      </w:docPartObj>
    </w:sdtPr>
    <w:sdtEndPr>
      <w:rPr>
        <w:noProof/>
      </w:rPr>
    </w:sdtEndPr>
    <w:sdtContent>
      <w:p w14:paraId="0E763765" w14:textId="54EB87FE" w:rsidR="001C2297" w:rsidRDefault="001C2297">
        <w:pPr>
          <w:pStyle w:val="Footer"/>
          <w:jc w:val="right"/>
        </w:pPr>
        <w:r>
          <w:fldChar w:fldCharType="begin"/>
        </w:r>
        <w:r>
          <w:instrText xml:space="preserve"> PAGE   \* MERGEFORMAT </w:instrText>
        </w:r>
        <w:r>
          <w:fldChar w:fldCharType="separate"/>
        </w:r>
        <w:r w:rsidR="009E12D8">
          <w:rPr>
            <w:noProof/>
          </w:rPr>
          <w:t>2</w:t>
        </w:r>
        <w:r>
          <w:rPr>
            <w:noProof/>
          </w:rPr>
          <w:fldChar w:fldCharType="end"/>
        </w:r>
      </w:p>
    </w:sdtContent>
  </w:sdt>
  <w:p w14:paraId="6837D4B0" w14:textId="77777777" w:rsidR="001C2297" w:rsidRDefault="001C2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949C" w14:textId="77777777" w:rsidR="00AA55E8" w:rsidRDefault="00AA55E8" w:rsidP="001C2297">
      <w:pPr>
        <w:spacing w:after="0" w:line="240" w:lineRule="auto"/>
      </w:pPr>
      <w:r>
        <w:separator/>
      </w:r>
    </w:p>
  </w:footnote>
  <w:footnote w:type="continuationSeparator" w:id="0">
    <w:p w14:paraId="682858FC" w14:textId="77777777" w:rsidR="00AA55E8" w:rsidRDefault="00AA55E8" w:rsidP="001C2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AAC"/>
    <w:multiLevelType w:val="hybridMultilevel"/>
    <w:tmpl w:val="A06CFD92"/>
    <w:lvl w:ilvl="0" w:tplc="6F5825E0">
      <w:start w:val="1"/>
      <w:numFmt w:val="bullet"/>
      <w:lvlText w:val=""/>
      <w:lvlJc w:val="left"/>
      <w:pPr>
        <w:tabs>
          <w:tab w:val="num" w:pos="720"/>
        </w:tabs>
        <w:ind w:left="720" w:hanging="360"/>
      </w:pPr>
      <w:rPr>
        <w:rFonts w:ascii="Wingdings" w:hAnsi="Wingdings" w:hint="default"/>
      </w:rPr>
    </w:lvl>
    <w:lvl w:ilvl="1" w:tplc="798A363E" w:tentative="1">
      <w:start w:val="1"/>
      <w:numFmt w:val="bullet"/>
      <w:lvlText w:val=""/>
      <w:lvlJc w:val="left"/>
      <w:pPr>
        <w:tabs>
          <w:tab w:val="num" w:pos="1440"/>
        </w:tabs>
        <w:ind w:left="1440" w:hanging="360"/>
      </w:pPr>
      <w:rPr>
        <w:rFonts w:ascii="Wingdings" w:hAnsi="Wingdings" w:hint="default"/>
      </w:rPr>
    </w:lvl>
    <w:lvl w:ilvl="2" w:tplc="6FAEC7AC">
      <w:start w:val="1"/>
      <w:numFmt w:val="bullet"/>
      <w:lvlText w:val=""/>
      <w:lvlJc w:val="left"/>
      <w:pPr>
        <w:tabs>
          <w:tab w:val="num" w:pos="2160"/>
        </w:tabs>
        <w:ind w:left="2160" w:hanging="360"/>
      </w:pPr>
      <w:rPr>
        <w:rFonts w:ascii="Wingdings" w:hAnsi="Wingdings" w:hint="default"/>
      </w:rPr>
    </w:lvl>
    <w:lvl w:ilvl="3" w:tplc="85CC87A0" w:tentative="1">
      <w:start w:val="1"/>
      <w:numFmt w:val="bullet"/>
      <w:lvlText w:val=""/>
      <w:lvlJc w:val="left"/>
      <w:pPr>
        <w:tabs>
          <w:tab w:val="num" w:pos="2880"/>
        </w:tabs>
        <w:ind w:left="2880" w:hanging="360"/>
      </w:pPr>
      <w:rPr>
        <w:rFonts w:ascii="Wingdings" w:hAnsi="Wingdings" w:hint="default"/>
      </w:rPr>
    </w:lvl>
    <w:lvl w:ilvl="4" w:tplc="93B2B3B2" w:tentative="1">
      <w:start w:val="1"/>
      <w:numFmt w:val="bullet"/>
      <w:lvlText w:val=""/>
      <w:lvlJc w:val="left"/>
      <w:pPr>
        <w:tabs>
          <w:tab w:val="num" w:pos="3600"/>
        </w:tabs>
        <w:ind w:left="3600" w:hanging="360"/>
      </w:pPr>
      <w:rPr>
        <w:rFonts w:ascii="Wingdings" w:hAnsi="Wingdings" w:hint="default"/>
      </w:rPr>
    </w:lvl>
    <w:lvl w:ilvl="5" w:tplc="316AF74A" w:tentative="1">
      <w:start w:val="1"/>
      <w:numFmt w:val="bullet"/>
      <w:lvlText w:val=""/>
      <w:lvlJc w:val="left"/>
      <w:pPr>
        <w:tabs>
          <w:tab w:val="num" w:pos="4320"/>
        </w:tabs>
        <w:ind w:left="4320" w:hanging="360"/>
      </w:pPr>
      <w:rPr>
        <w:rFonts w:ascii="Wingdings" w:hAnsi="Wingdings" w:hint="default"/>
      </w:rPr>
    </w:lvl>
    <w:lvl w:ilvl="6" w:tplc="8D3CDB34" w:tentative="1">
      <w:start w:val="1"/>
      <w:numFmt w:val="bullet"/>
      <w:lvlText w:val=""/>
      <w:lvlJc w:val="left"/>
      <w:pPr>
        <w:tabs>
          <w:tab w:val="num" w:pos="5040"/>
        </w:tabs>
        <w:ind w:left="5040" w:hanging="360"/>
      </w:pPr>
      <w:rPr>
        <w:rFonts w:ascii="Wingdings" w:hAnsi="Wingdings" w:hint="default"/>
      </w:rPr>
    </w:lvl>
    <w:lvl w:ilvl="7" w:tplc="D75C7502" w:tentative="1">
      <w:start w:val="1"/>
      <w:numFmt w:val="bullet"/>
      <w:lvlText w:val=""/>
      <w:lvlJc w:val="left"/>
      <w:pPr>
        <w:tabs>
          <w:tab w:val="num" w:pos="5760"/>
        </w:tabs>
        <w:ind w:left="5760" w:hanging="360"/>
      </w:pPr>
      <w:rPr>
        <w:rFonts w:ascii="Wingdings" w:hAnsi="Wingdings" w:hint="default"/>
      </w:rPr>
    </w:lvl>
    <w:lvl w:ilvl="8" w:tplc="3C4475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C6535"/>
    <w:multiLevelType w:val="multilevel"/>
    <w:tmpl w:val="CD2C909A"/>
    <w:lvl w:ilvl="0">
      <w:start w:val="1"/>
      <w:numFmt w:val="bullet"/>
      <w:lvlText w:val=""/>
      <w:lvlJc w:val="left"/>
      <w:pPr>
        <w:tabs>
          <w:tab w:val="num" w:pos="-198"/>
        </w:tabs>
        <w:ind w:left="-198" w:hanging="360"/>
      </w:pPr>
      <w:rPr>
        <w:rFonts w:ascii="Symbol" w:hAnsi="Symbol" w:hint="default"/>
        <w:b/>
        <w:i w:val="0"/>
        <w:color w:val="4F81BD" w:themeColor="accent1"/>
        <w:sz w:val="20"/>
      </w:rPr>
    </w:lvl>
    <w:lvl w:ilvl="1">
      <w:start w:val="1"/>
      <w:numFmt w:val="bullet"/>
      <w:lvlText w:val="o"/>
      <w:lvlJc w:val="left"/>
      <w:pPr>
        <w:tabs>
          <w:tab w:val="num" w:pos="522"/>
        </w:tabs>
        <w:ind w:left="522" w:hanging="360"/>
      </w:pPr>
      <w:rPr>
        <w:rFonts w:ascii="Courier New" w:hAnsi="Courier New" w:hint="default"/>
        <w:sz w:val="20"/>
      </w:rPr>
    </w:lvl>
    <w:lvl w:ilvl="2">
      <w:start w:val="1"/>
      <w:numFmt w:val="bullet"/>
      <w:lvlText w:val=""/>
      <w:lvlJc w:val="left"/>
      <w:pPr>
        <w:tabs>
          <w:tab w:val="num" w:pos="1242"/>
        </w:tabs>
        <w:ind w:left="1242" w:hanging="360"/>
      </w:pPr>
      <w:rPr>
        <w:rFonts w:ascii="Wingdings" w:hAnsi="Wingdings" w:hint="default"/>
        <w:sz w:val="20"/>
      </w:rPr>
    </w:lvl>
    <w:lvl w:ilvl="3" w:tentative="1">
      <w:start w:val="1"/>
      <w:numFmt w:val="bullet"/>
      <w:lvlText w:val=""/>
      <w:lvlJc w:val="left"/>
      <w:pPr>
        <w:tabs>
          <w:tab w:val="num" w:pos="1962"/>
        </w:tabs>
        <w:ind w:left="1962" w:hanging="360"/>
      </w:pPr>
      <w:rPr>
        <w:rFonts w:ascii="Wingdings" w:hAnsi="Wingdings" w:hint="default"/>
        <w:sz w:val="20"/>
      </w:rPr>
    </w:lvl>
    <w:lvl w:ilvl="4" w:tentative="1">
      <w:start w:val="1"/>
      <w:numFmt w:val="bullet"/>
      <w:lvlText w:val=""/>
      <w:lvlJc w:val="left"/>
      <w:pPr>
        <w:tabs>
          <w:tab w:val="num" w:pos="2682"/>
        </w:tabs>
        <w:ind w:left="2682" w:hanging="360"/>
      </w:pPr>
      <w:rPr>
        <w:rFonts w:ascii="Wingdings" w:hAnsi="Wingdings" w:hint="default"/>
        <w:sz w:val="20"/>
      </w:rPr>
    </w:lvl>
    <w:lvl w:ilvl="5" w:tentative="1">
      <w:start w:val="1"/>
      <w:numFmt w:val="bullet"/>
      <w:lvlText w:val=""/>
      <w:lvlJc w:val="left"/>
      <w:pPr>
        <w:tabs>
          <w:tab w:val="num" w:pos="3402"/>
        </w:tabs>
        <w:ind w:left="3402" w:hanging="360"/>
      </w:pPr>
      <w:rPr>
        <w:rFonts w:ascii="Wingdings" w:hAnsi="Wingdings" w:hint="default"/>
        <w:sz w:val="20"/>
      </w:rPr>
    </w:lvl>
    <w:lvl w:ilvl="6" w:tentative="1">
      <w:start w:val="1"/>
      <w:numFmt w:val="bullet"/>
      <w:lvlText w:val=""/>
      <w:lvlJc w:val="left"/>
      <w:pPr>
        <w:tabs>
          <w:tab w:val="num" w:pos="4122"/>
        </w:tabs>
        <w:ind w:left="4122" w:hanging="360"/>
      </w:pPr>
      <w:rPr>
        <w:rFonts w:ascii="Wingdings" w:hAnsi="Wingdings" w:hint="default"/>
        <w:sz w:val="20"/>
      </w:rPr>
    </w:lvl>
    <w:lvl w:ilvl="7" w:tentative="1">
      <w:start w:val="1"/>
      <w:numFmt w:val="bullet"/>
      <w:lvlText w:val=""/>
      <w:lvlJc w:val="left"/>
      <w:pPr>
        <w:tabs>
          <w:tab w:val="num" w:pos="4842"/>
        </w:tabs>
        <w:ind w:left="4842" w:hanging="360"/>
      </w:pPr>
      <w:rPr>
        <w:rFonts w:ascii="Wingdings" w:hAnsi="Wingdings" w:hint="default"/>
        <w:sz w:val="20"/>
      </w:rPr>
    </w:lvl>
    <w:lvl w:ilvl="8" w:tentative="1">
      <w:start w:val="1"/>
      <w:numFmt w:val="bullet"/>
      <w:lvlText w:val=""/>
      <w:lvlJc w:val="left"/>
      <w:pPr>
        <w:tabs>
          <w:tab w:val="num" w:pos="5562"/>
        </w:tabs>
        <w:ind w:left="5562" w:hanging="360"/>
      </w:pPr>
      <w:rPr>
        <w:rFonts w:ascii="Wingdings" w:hAnsi="Wingdings" w:hint="default"/>
        <w:sz w:val="20"/>
      </w:rPr>
    </w:lvl>
  </w:abstractNum>
  <w:abstractNum w:abstractNumId="2" w15:restartNumberingAfterBreak="0">
    <w:nsid w:val="17CA5DEA"/>
    <w:multiLevelType w:val="hybridMultilevel"/>
    <w:tmpl w:val="3E4A0B44"/>
    <w:lvl w:ilvl="0" w:tplc="83B8921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7191FA3"/>
    <w:multiLevelType w:val="hybridMultilevel"/>
    <w:tmpl w:val="AAAC20E6"/>
    <w:lvl w:ilvl="0" w:tplc="7E6C8216">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30777363"/>
    <w:multiLevelType w:val="hybridMultilevel"/>
    <w:tmpl w:val="EE107F7E"/>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07C1E"/>
    <w:multiLevelType w:val="hybridMultilevel"/>
    <w:tmpl w:val="B33E0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D3928"/>
    <w:multiLevelType w:val="hybridMultilevel"/>
    <w:tmpl w:val="873A674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279D2"/>
    <w:multiLevelType w:val="hybridMultilevel"/>
    <w:tmpl w:val="82B82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32A02"/>
    <w:multiLevelType w:val="hybridMultilevel"/>
    <w:tmpl w:val="8D1859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1B02E34"/>
    <w:multiLevelType w:val="hybridMultilevel"/>
    <w:tmpl w:val="26EEBD60"/>
    <w:lvl w:ilvl="0" w:tplc="87B47A5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83AF5"/>
    <w:multiLevelType w:val="hybridMultilevel"/>
    <w:tmpl w:val="00DC332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E16ADA"/>
    <w:multiLevelType w:val="hybridMultilevel"/>
    <w:tmpl w:val="0E0090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465614A"/>
    <w:multiLevelType w:val="hybridMultilevel"/>
    <w:tmpl w:val="00E6CC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F5DC6"/>
    <w:multiLevelType w:val="hybridMultilevel"/>
    <w:tmpl w:val="03FE8F2E"/>
    <w:lvl w:ilvl="0" w:tplc="5380CAE4">
      <w:start w:val="1"/>
      <w:numFmt w:val="bullet"/>
      <w:lvlText w:val="•"/>
      <w:lvlJc w:val="left"/>
      <w:pPr>
        <w:tabs>
          <w:tab w:val="num" w:pos="720"/>
        </w:tabs>
        <w:ind w:left="720" w:hanging="360"/>
      </w:pPr>
      <w:rPr>
        <w:rFonts w:asciiTheme="minorHAnsi" w:hAnsiTheme="minorHAnsi" w:cstheme="minorHAnsi" w:hint="default"/>
      </w:rPr>
    </w:lvl>
    <w:lvl w:ilvl="1" w:tplc="ABEE3F94">
      <w:start w:val="1"/>
      <w:numFmt w:val="bullet"/>
      <w:lvlText w:val="•"/>
      <w:lvlJc w:val="left"/>
      <w:pPr>
        <w:tabs>
          <w:tab w:val="num" w:pos="1440"/>
        </w:tabs>
        <w:ind w:left="1440" w:hanging="360"/>
      </w:pPr>
      <w:rPr>
        <w:rFonts w:ascii="Times New Roman" w:hAnsi="Times New Roman" w:hint="default"/>
      </w:rPr>
    </w:lvl>
    <w:lvl w:ilvl="2" w:tplc="8758B2CA" w:tentative="1">
      <w:start w:val="1"/>
      <w:numFmt w:val="bullet"/>
      <w:lvlText w:val="•"/>
      <w:lvlJc w:val="left"/>
      <w:pPr>
        <w:tabs>
          <w:tab w:val="num" w:pos="2160"/>
        </w:tabs>
        <w:ind w:left="2160" w:hanging="360"/>
      </w:pPr>
      <w:rPr>
        <w:rFonts w:ascii="Times New Roman" w:hAnsi="Times New Roman" w:hint="default"/>
      </w:rPr>
    </w:lvl>
    <w:lvl w:ilvl="3" w:tplc="A1C45E98" w:tentative="1">
      <w:start w:val="1"/>
      <w:numFmt w:val="bullet"/>
      <w:lvlText w:val="•"/>
      <w:lvlJc w:val="left"/>
      <w:pPr>
        <w:tabs>
          <w:tab w:val="num" w:pos="2880"/>
        </w:tabs>
        <w:ind w:left="2880" w:hanging="360"/>
      </w:pPr>
      <w:rPr>
        <w:rFonts w:ascii="Times New Roman" w:hAnsi="Times New Roman" w:hint="default"/>
      </w:rPr>
    </w:lvl>
    <w:lvl w:ilvl="4" w:tplc="54469114" w:tentative="1">
      <w:start w:val="1"/>
      <w:numFmt w:val="bullet"/>
      <w:lvlText w:val="•"/>
      <w:lvlJc w:val="left"/>
      <w:pPr>
        <w:tabs>
          <w:tab w:val="num" w:pos="3600"/>
        </w:tabs>
        <w:ind w:left="3600" w:hanging="360"/>
      </w:pPr>
      <w:rPr>
        <w:rFonts w:ascii="Times New Roman" w:hAnsi="Times New Roman" w:hint="default"/>
      </w:rPr>
    </w:lvl>
    <w:lvl w:ilvl="5" w:tplc="39921C24" w:tentative="1">
      <w:start w:val="1"/>
      <w:numFmt w:val="bullet"/>
      <w:lvlText w:val="•"/>
      <w:lvlJc w:val="left"/>
      <w:pPr>
        <w:tabs>
          <w:tab w:val="num" w:pos="4320"/>
        </w:tabs>
        <w:ind w:left="4320" w:hanging="360"/>
      </w:pPr>
      <w:rPr>
        <w:rFonts w:ascii="Times New Roman" w:hAnsi="Times New Roman" w:hint="default"/>
      </w:rPr>
    </w:lvl>
    <w:lvl w:ilvl="6" w:tplc="F7622D94" w:tentative="1">
      <w:start w:val="1"/>
      <w:numFmt w:val="bullet"/>
      <w:lvlText w:val="•"/>
      <w:lvlJc w:val="left"/>
      <w:pPr>
        <w:tabs>
          <w:tab w:val="num" w:pos="5040"/>
        </w:tabs>
        <w:ind w:left="5040" w:hanging="360"/>
      </w:pPr>
      <w:rPr>
        <w:rFonts w:ascii="Times New Roman" w:hAnsi="Times New Roman" w:hint="default"/>
      </w:rPr>
    </w:lvl>
    <w:lvl w:ilvl="7" w:tplc="1736DD20" w:tentative="1">
      <w:start w:val="1"/>
      <w:numFmt w:val="bullet"/>
      <w:lvlText w:val="•"/>
      <w:lvlJc w:val="left"/>
      <w:pPr>
        <w:tabs>
          <w:tab w:val="num" w:pos="5760"/>
        </w:tabs>
        <w:ind w:left="5760" w:hanging="360"/>
      </w:pPr>
      <w:rPr>
        <w:rFonts w:ascii="Times New Roman" w:hAnsi="Times New Roman" w:hint="default"/>
      </w:rPr>
    </w:lvl>
    <w:lvl w:ilvl="8" w:tplc="D2D241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BA76024"/>
    <w:multiLevelType w:val="hybridMultilevel"/>
    <w:tmpl w:val="6C32557A"/>
    <w:lvl w:ilvl="0" w:tplc="3134F772">
      <w:numFmt w:val="bullet"/>
      <w:lvlText w:val="-"/>
      <w:lvlJc w:val="left"/>
      <w:pPr>
        <w:ind w:left="644" w:hanging="360"/>
      </w:pPr>
      <w:rPr>
        <w:rFonts w:ascii="Calibri" w:eastAsiaTheme="minorHAnsi" w:hAnsi="Calibri" w:cs="Calibri" w:hint="default"/>
        <w:color w:val="auto"/>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5" w15:restartNumberingAfterBreak="0">
    <w:nsid w:val="68BD59F9"/>
    <w:multiLevelType w:val="hybridMultilevel"/>
    <w:tmpl w:val="FD903B5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A396705"/>
    <w:multiLevelType w:val="multilevel"/>
    <w:tmpl w:val="CD2C909A"/>
    <w:lvl w:ilvl="0">
      <w:start w:val="1"/>
      <w:numFmt w:val="bullet"/>
      <w:lvlText w:val=""/>
      <w:lvlJc w:val="left"/>
      <w:pPr>
        <w:tabs>
          <w:tab w:val="num" w:pos="807"/>
        </w:tabs>
        <w:ind w:left="807" w:hanging="360"/>
      </w:pPr>
      <w:rPr>
        <w:rFonts w:ascii="Symbol" w:hAnsi="Symbol" w:hint="default"/>
        <w:b/>
        <w:i w:val="0"/>
        <w:color w:val="4F81BD" w:themeColor="accent1"/>
        <w:sz w:val="20"/>
      </w:rPr>
    </w:lvl>
    <w:lvl w:ilvl="1">
      <w:start w:val="1"/>
      <w:numFmt w:val="bullet"/>
      <w:lvlText w:val="o"/>
      <w:lvlJc w:val="left"/>
      <w:pPr>
        <w:tabs>
          <w:tab w:val="num" w:pos="1527"/>
        </w:tabs>
        <w:ind w:left="1527" w:hanging="360"/>
      </w:pPr>
      <w:rPr>
        <w:rFonts w:ascii="Courier New" w:hAnsi="Courier New" w:hint="default"/>
        <w:sz w:val="20"/>
      </w:rPr>
    </w:lvl>
    <w:lvl w:ilvl="2">
      <w:start w:val="1"/>
      <w:numFmt w:val="bullet"/>
      <w:lvlText w:val=""/>
      <w:lvlJc w:val="left"/>
      <w:pPr>
        <w:tabs>
          <w:tab w:val="num" w:pos="2247"/>
        </w:tabs>
        <w:ind w:left="2247" w:hanging="360"/>
      </w:pPr>
      <w:rPr>
        <w:rFonts w:ascii="Wingdings" w:hAnsi="Wingdings" w:hint="default"/>
        <w:sz w:val="20"/>
      </w:rPr>
    </w:lvl>
    <w:lvl w:ilvl="3" w:tentative="1">
      <w:start w:val="1"/>
      <w:numFmt w:val="bullet"/>
      <w:lvlText w:val=""/>
      <w:lvlJc w:val="left"/>
      <w:pPr>
        <w:tabs>
          <w:tab w:val="num" w:pos="2967"/>
        </w:tabs>
        <w:ind w:left="2967" w:hanging="360"/>
      </w:pPr>
      <w:rPr>
        <w:rFonts w:ascii="Wingdings" w:hAnsi="Wingdings" w:hint="default"/>
        <w:sz w:val="20"/>
      </w:rPr>
    </w:lvl>
    <w:lvl w:ilvl="4" w:tentative="1">
      <w:start w:val="1"/>
      <w:numFmt w:val="bullet"/>
      <w:lvlText w:val=""/>
      <w:lvlJc w:val="left"/>
      <w:pPr>
        <w:tabs>
          <w:tab w:val="num" w:pos="3687"/>
        </w:tabs>
        <w:ind w:left="3687" w:hanging="360"/>
      </w:pPr>
      <w:rPr>
        <w:rFonts w:ascii="Wingdings" w:hAnsi="Wingdings" w:hint="default"/>
        <w:sz w:val="20"/>
      </w:rPr>
    </w:lvl>
    <w:lvl w:ilvl="5" w:tentative="1">
      <w:start w:val="1"/>
      <w:numFmt w:val="bullet"/>
      <w:lvlText w:val=""/>
      <w:lvlJc w:val="left"/>
      <w:pPr>
        <w:tabs>
          <w:tab w:val="num" w:pos="4407"/>
        </w:tabs>
        <w:ind w:left="4407" w:hanging="360"/>
      </w:pPr>
      <w:rPr>
        <w:rFonts w:ascii="Wingdings" w:hAnsi="Wingdings" w:hint="default"/>
        <w:sz w:val="20"/>
      </w:rPr>
    </w:lvl>
    <w:lvl w:ilvl="6" w:tentative="1">
      <w:start w:val="1"/>
      <w:numFmt w:val="bullet"/>
      <w:lvlText w:val=""/>
      <w:lvlJc w:val="left"/>
      <w:pPr>
        <w:tabs>
          <w:tab w:val="num" w:pos="5127"/>
        </w:tabs>
        <w:ind w:left="5127" w:hanging="360"/>
      </w:pPr>
      <w:rPr>
        <w:rFonts w:ascii="Wingdings" w:hAnsi="Wingdings" w:hint="default"/>
        <w:sz w:val="20"/>
      </w:rPr>
    </w:lvl>
    <w:lvl w:ilvl="7" w:tentative="1">
      <w:start w:val="1"/>
      <w:numFmt w:val="bullet"/>
      <w:lvlText w:val=""/>
      <w:lvlJc w:val="left"/>
      <w:pPr>
        <w:tabs>
          <w:tab w:val="num" w:pos="5847"/>
        </w:tabs>
        <w:ind w:left="5847" w:hanging="360"/>
      </w:pPr>
      <w:rPr>
        <w:rFonts w:ascii="Wingdings" w:hAnsi="Wingdings" w:hint="default"/>
        <w:sz w:val="20"/>
      </w:rPr>
    </w:lvl>
    <w:lvl w:ilvl="8" w:tentative="1">
      <w:start w:val="1"/>
      <w:numFmt w:val="bullet"/>
      <w:lvlText w:val=""/>
      <w:lvlJc w:val="left"/>
      <w:pPr>
        <w:tabs>
          <w:tab w:val="num" w:pos="6567"/>
        </w:tabs>
        <w:ind w:left="6567" w:hanging="360"/>
      </w:pPr>
      <w:rPr>
        <w:rFonts w:ascii="Wingdings" w:hAnsi="Wingdings" w:hint="default"/>
        <w:sz w:val="20"/>
      </w:rPr>
    </w:lvl>
  </w:abstractNum>
  <w:abstractNum w:abstractNumId="17" w15:restartNumberingAfterBreak="0">
    <w:nsid w:val="6C512972"/>
    <w:multiLevelType w:val="hybridMultilevel"/>
    <w:tmpl w:val="6EAEA19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C8D2A60"/>
    <w:multiLevelType w:val="hybridMultilevel"/>
    <w:tmpl w:val="EB2A55E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D40758E"/>
    <w:multiLevelType w:val="hybridMultilevel"/>
    <w:tmpl w:val="3536C26A"/>
    <w:lvl w:ilvl="0" w:tplc="83B8921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120DFE"/>
    <w:multiLevelType w:val="multilevel"/>
    <w:tmpl w:val="CD2C909A"/>
    <w:lvl w:ilvl="0">
      <w:start w:val="1"/>
      <w:numFmt w:val="bullet"/>
      <w:lvlText w:val=""/>
      <w:lvlJc w:val="left"/>
      <w:pPr>
        <w:tabs>
          <w:tab w:val="num" w:pos="720"/>
        </w:tabs>
        <w:ind w:left="720" w:hanging="360"/>
      </w:pPr>
      <w:rPr>
        <w:rFonts w:ascii="Symbol" w:hAnsi="Symbol" w:hint="default"/>
        <w:b/>
        <w:i w:val="0"/>
        <w:color w:val="4F81BD" w:themeColor="accen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C05A3"/>
    <w:multiLevelType w:val="hybridMultilevel"/>
    <w:tmpl w:val="E4DA2ED4"/>
    <w:lvl w:ilvl="0" w:tplc="DAA805A0">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0"/>
  </w:num>
  <w:num w:numId="4">
    <w:abstractNumId w:val="17"/>
  </w:num>
  <w:num w:numId="5">
    <w:abstractNumId w:val="18"/>
  </w:num>
  <w:num w:numId="6">
    <w:abstractNumId w:val="6"/>
  </w:num>
  <w:num w:numId="7">
    <w:abstractNumId w:val="9"/>
  </w:num>
  <w:num w:numId="8">
    <w:abstractNumId w:val="12"/>
  </w:num>
  <w:num w:numId="9">
    <w:abstractNumId w:val="0"/>
  </w:num>
  <w:num w:numId="10">
    <w:abstractNumId w:val="4"/>
  </w:num>
  <w:num w:numId="11">
    <w:abstractNumId w:val="7"/>
  </w:num>
  <w:num w:numId="12">
    <w:abstractNumId w:val="21"/>
  </w:num>
  <w:num w:numId="13">
    <w:abstractNumId w:val="15"/>
  </w:num>
  <w:num w:numId="14">
    <w:abstractNumId w:val="5"/>
  </w:num>
  <w:num w:numId="15">
    <w:abstractNumId w:val="10"/>
  </w:num>
  <w:num w:numId="16">
    <w:abstractNumId w:val="3"/>
  </w:num>
  <w:num w:numId="17">
    <w:abstractNumId w:val="14"/>
  </w:num>
  <w:num w:numId="18">
    <w:abstractNumId w:val="13"/>
  </w:num>
  <w:num w:numId="19">
    <w:abstractNumId w:val="11"/>
  </w:num>
  <w:num w:numId="20">
    <w:abstractNumId w:val="8"/>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51"/>
    <w:rsid w:val="0000010E"/>
    <w:rsid w:val="000011EA"/>
    <w:rsid w:val="00007394"/>
    <w:rsid w:val="00015955"/>
    <w:rsid w:val="00025D55"/>
    <w:rsid w:val="000275CF"/>
    <w:rsid w:val="00064C1B"/>
    <w:rsid w:val="000678EE"/>
    <w:rsid w:val="00067D47"/>
    <w:rsid w:val="00071E0A"/>
    <w:rsid w:val="00077622"/>
    <w:rsid w:val="000817A8"/>
    <w:rsid w:val="000949DD"/>
    <w:rsid w:val="000B4D0C"/>
    <w:rsid w:val="000E57C8"/>
    <w:rsid w:val="000F2090"/>
    <w:rsid w:val="000F7900"/>
    <w:rsid w:val="00100462"/>
    <w:rsid w:val="00100E47"/>
    <w:rsid w:val="0010386E"/>
    <w:rsid w:val="00131BB9"/>
    <w:rsid w:val="00137A83"/>
    <w:rsid w:val="00137CD5"/>
    <w:rsid w:val="00150885"/>
    <w:rsid w:val="001517BA"/>
    <w:rsid w:val="001610EC"/>
    <w:rsid w:val="001C2297"/>
    <w:rsid w:val="001D2664"/>
    <w:rsid w:val="00200A77"/>
    <w:rsid w:val="0020577D"/>
    <w:rsid w:val="00207418"/>
    <w:rsid w:val="00226B6D"/>
    <w:rsid w:val="002308D7"/>
    <w:rsid w:val="00244E41"/>
    <w:rsid w:val="002474BD"/>
    <w:rsid w:val="0027055D"/>
    <w:rsid w:val="002B1967"/>
    <w:rsid w:val="002C7D6C"/>
    <w:rsid w:val="002D0B53"/>
    <w:rsid w:val="002D4E33"/>
    <w:rsid w:val="003034ED"/>
    <w:rsid w:val="00343751"/>
    <w:rsid w:val="0035249B"/>
    <w:rsid w:val="00371391"/>
    <w:rsid w:val="0037165B"/>
    <w:rsid w:val="003939CB"/>
    <w:rsid w:val="003C2FA4"/>
    <w:rsid w:val="003F3570"/>
    <w:rsid w:val="003F50EF"/>
    <w:rsid w:val="004003B9"/>
    <w:rsid w:val="00411382"/>
    <w:rsid w:val="004122AA"/>
    <w:rsid w:val="00412D60"/>
    <w:rsid w:val="00415FB3"/>
    <w:rsid w:val="00417BE7"/>
    <w:rsid w:val="0043463E"/>
    <w:rsid w:val="00457152"/>
    <w:rsid w:val="00466DC3"/>
    <w:rsid w:val="00477541"/>
    <w:rsid w:val="0047772B"/>
    <w:rsid w:val="004C3DD1"/>
    <w:rsid w:val="004C5282"/>
    <w:rsid w:val="004C7C18"/>
    <w:rsid w:val="004F01EC"/>
    <w:rsid w:val="004F3668"/>
    <w:rsid w:val="004F7747"/>
    <w:rsid w:val="00512378"/>
    <w:rsid w:val="00524471"/>
    <w:rsid w:val="00527C3B"/>
    <w:rsid w:val="00553BEE"/>
    <w:rsid w:val="00597820"/>
    <w:rsid w:val="005A01AA"/>
    <w:rsid w:val="005C2600"/>
    <w:rsid w:val="0061248A"/>
    <w:rsid w:val="0063232E"/>
    <w:rsid w:val="00657533"/>
    <w:rsid w:val="00663A55"/>
    <w:rsid w:val="00685321"/>
    <w:rsid w:val="006925FE"/>
    <w:rsid w:val="006A41ED"/>
    <w:rsid w:val="006A70B4"/>
    <w:rsid w:val="006D055E"/>
    <w:rsid w:val="006D4C08"/>
    <w:rsid w:val="006F3BCE"/>
    <w:rsid w:val="00706022"/>
    <w:rsid w:val="00711CBD"/>
    <w:rsid w:val="00715BC8"/>
    <w:rsid w:val="00721E42"/>
    <w:rsid w:val="007263BC"/>
    <w:rsid w:val="00736F00"/>
    <w:rsid w:val="00736F67"/>
    <w:rsid w:val="00746537"/>
    <w:rsid w:val="00765109"/>
    <w:rsid w:val="007851F3"/>
    <w:rsid w:val="007B0761"/>
    <w:rsid w:val="007B26CB"/>
    <w:rsid w:val="007C631F"/>
    <w:rsid w:val="007D1864"/>
    <w:rsid w:val="007F17EF"/>
    <w:rsid w:val="00801BB7"/>
    <w:rsid w:val="00802917"/>
    <w:rsid w:val="00810290"/>
    <w:rsid w:val="00843FD1"/>
    <w:rsid w:val="008460D2"/>
    <w:rsid w:val="00860033"/>
    <w:rsid w:val="00876D99"/>
    <w:rsid w:val="00897777"/>
    <w:rsid w:val="00897D9C"/>
    <w:rsid w:val="008B11B3"/>
    <w:rsid w:val="008B6BB6"/>
    <w:rsid w:val="008C592E"/>
    <w:rsid w:val="008C62D8"/>
    <w:rsid w:val="008E1E5D"/>
    <w:rsid w:val="009349CF"/>
    <w:rsid w:val="009364FE"/>
    <w:rsid w:val="00960C09"/>
    <w:rsid w:val="00961FBF"/>
    <w:rsid w:val="00970D75"/>
    <w:rsid w:val="0098684F"/>
    <w:rsid w:val="009905DA"/>
    <w:rsid w:val="009A0E6B"/>
    <w:rsid w:val="009C3575"/>
    <w:rsid w:val="009D2209"/>
    <w:rsid w:val="009E12D8"/>
    <w:rsid w:val="00A01025"/>
    <w:rsid w:val="00A35F64"/>
    <w:rsid w:val="00A41F18"/>
    <w:rsid w:val="00A43B8C"/>
    <w:rsid w:val="00A609E4"/>
    <w:rsid w:val="00A74266"/>
    <w:rsid w:val="00A76420"/>
    <w:rsid w:val="00A77E69"/>
    <w:rsid w:val="00A823DF"/>
    <w:rsid w:val="00A8736D"/>
    <w:rsid w:val="00A9717E"/>
    <w:rsid w:val="00AA55E8"/>
    <w:rsid w:val="00AC6B73"/>
    <w:rsid w:val="00B0183C"/>
    <w:rsid w:val="00B04A68"/>
    <w:rsid w:val="00B3625E"/>
    <w:rsid w:val="00B41F5B"/>
    <w:rsid w:val="00B812E3"/>
    <w:rsid w:val="00B8315D"/>
    <w:rsid w:val="00B84400"/>
    <w:rsid w:val="00B848CC"/>
    <w:rsid w:val="00BA2CA4"/>
    <w:rsid w:val="00BB0351"/>
    <w:rsid w:val="00BD084D"/>
    <w:rsid w:val="00BD0B6B"/>
    <w:rsid w:val="00BD460B"/>
    <w:rsid w:val="00C37A52"/>
    <w:rsid w:val="00C80963"/>
    <w:rsid w:val="00C865F3"/>
    <w:rsid w:val="00C97346"/>
    <w:rsid w:val="00CF6B67"/>
    <w:rsid w:val="00D00A93"/>
    <w:rsid w:val="00D377F1"/>
    <w:rsid w:val="00D54F8D"/>
    <w:rsid w:val="00D55EB9"/>
    <w:rsid w:val="00D80B6F"/>
    <w:rsid w:val="00D950A0"/>
    <w:rsid w:val="00D95D55"/>
    <w:rsid w:val="00DA5353"/>
    <w:rsid w:val="00DB3D7A"/>
    <w:rsid w:val="00DB5E12"/>
    <w:rsid w:val="00DB60F8"/>
    <w:rsid w:val="00DF13A9"/>
    <w:rsid w:val="00DF3188"/>
    <w:rsid w:val="00DF7E80"/>
    <w:rsid w:val="00E0000E"/>
    <w:rsid w:val="00E1777E"/>
    <w:rsid w:val="00E20259"/>
    <w:rsid w:val="00E30025"/>
    <w:rsid w:val="00E42E3D"/>
    <w:rsid w:val="00E52BDD"/>
    <w:rsid w:val="00E64CF2"/>
    <w:rsid w:val="00E738E5"/>
    <w:rsid w:val="00E8258D"/>
    <w:rsid w:val="00E84490"/>
    <w:rsid w:val="00E9532E"/>
    <w:rsid w:val="00EB52A4"/>
    <w:rsid w:val="00EB7C32"/>
    <w:rsid w:val="00EC3A85"/>
    <w:rsid w:val="00ED4B4F"/>
    <w:rsid w:val="00ED7053"/>
    <w:rsid w:val="00EE03E7"/>
    <w:rsid w:val="00EE4DD0"/>
    <w:rsid w:val="00F206E1"/>
    <w:rsid w:val="00F36FD8"/>
    <w:rsid w:val="00F377E8"/>
    <w:rsid w:val="00F6514A"/>
    <w:rsid w:val="00F862F0"/>
    <w:rsid w:val="00FB5B38"/>
    <w:rsid w:val="00FB5D2E"/>
    <w:rsid w:val="00FD18CC"/>
    <w:rsid w:val="00FD730B"/>
    <w:rsid w:val="00FE6A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EA26"/>
  <w15:docId w15:val="{D94FAEBE-8F86-49C2-8752-48456875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42"/>
  </w:style>
  <w:style w:type="paragraph" w:styleId="Heading1">
    <w:name w:val="heading 1"/>
    <w:basedOn w:val="Normal"/>
    <w:next w:val="Normal"/>
    <w:link w:val="Heading1Char"/>
    <w:uiPriority w:val="9"/>
    <w:rsid w:val="0010386E"/>
    <w:pPr>
      <w:pBdr>
        <w:bottom w:val="single" w:sz="4" w:space="0" w:color="1F497D" w:themeColor="text2"/>
        <w:bar w:val="single" w:sz="4" w:color="auto"/>
      </w:pBdr>
      <w:spacing w:after="0" w:line="240" w:lineRule="auto"/>
      <w:jc w:val="center"/>
      <w:outlineLvl w:val="0"/>
    </w:pPr>
    <w:rPr>
      <w:rFonts w:ascii="Arial" w:eastAsia="Times New Roman" w:hAnsi="Arial" w:cs="Arial"/>
      <w:b/>
      <w:bCs/>
      <w:color w:val="244061" w:themeColor="accent1" w:themeShade="80"/>
      <w:sz w:val="26"/>
      <w:szCs w:val="26"/>
      <w:lang w:val="en-GB" w:eastAsia="en-GB"/>
    </w:rPr>
  </w:style>
  <w:style w:type="paragraph" w:styleId="Heading2">
    <w:name w:val="heading 2"/>
    <w:basedOn w:val="Normal"/>
    <w:next w:val="Normal"/>
    <w:link w:val="Heading2Char"/>
    <w:uiPriority w:val="9"/>
    <w:semiHidden/>
    <w:unhideWhenUsed/>
    <w:qFormat/>
    <w:rsid w:val="002C7D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a"/>
    <w:basedOn w:val="Normal"/>
    <w:link w:val="ListaChar"/>
    <w:qFormat/>
    <w:rsid w:val="00417BE7"/>
    <w:pPr>
      <w:spacing w:after="60" w:line="360" w:lineRule="auto"/>
      <w:jc w:val="both"/>
      <w:textAlignment w:val="baseline"/>
    </w:pPr>
    <w:rPr>
      <w:rFonts w:ascii="Arial" w:eastAsia="Times New Roman" w:hAnsi="Arial" w:cs="Arial"/>
      <w:color w:val="000000"/>
      <w:sz w:val="24"/>
      <w:szCs w:val="24"/>
      <w:lang w:val="en-GB" w:eastAsia="en-GB"/>
    </w:rPr>
  </w:style>
  <w:style w:type="character" w:customStyle="1" w:styleId="ListaChar">
    <w:name w:val="Lista Char"/>
    <w:basedOn w:val="DefaultParagraphFont"/>
    <w:link w:val="Lista"/>
    <w:rsid w:val="00417BE7"/>
    <w:rPr>
      <w:rFonts w:ascii="Arial" w:eastAsia="Times New Roman" w:hAnsi="Arial" w:cs="Arial"/>
      <w:color w:val="000000"/>
      <w:sz w:val="24"/>
      <w:szCs w:val="24"/>
      <w:lang w:val="en-GB" w:eastAsia="en-GB"/>
    </w:rPr>
  </w:style>
  <w:style w:type="character" w:customStyle="1" w:styleId="Heading1Char">
    <w:name w:val="Heading 1 Char"/>
    <w:basedOn w:val="DefaultParagraphFont"/>
    <w:link w:val="Heading1"/>
    <w:uiPriority w:val="9"/>
    <w:rsid w:val="0010386E"/>
    <w:rPr>
      <w:rFonts w:ascii="Arial" w:eastAsia="Times New Roman" w:hAnsi="Arial" w:cs="Arial"/>
      <w:b/>
      <w:bCs/>
      <w:color w:val="244061" w:themeColor="accent1" w:themeShade="80"/>
      <w:sz w:val="26"/>
      <w:szCs w:val="26"/>
      <w:lang w:val="en-GB" w:eastAsia="en-GB"/>
    </w:rPr>
  </w:style>
  <w:style w:type="paragraph" w:customStyle="1" w:styleId="TitluComponenta">
    <w:name w:val="Titlu Componenta"/>
    <w:link w:val="TitluComponentaChar"/>
    <w:qFormat/>
    <w:rsid w:val="0010386E"/>
    <w:pPr>
      <w:framePr w:hSpace="181" w:wrap="around" w:vAnchor="text" w:hAnchor="text" w:y="1"/>
      <w:spacing w:after="0" w:line="240" w:lineRule="auto"/>
      <w:suppressOverlap/>
    </w:pPr>
    <w:rPr>
      <w:rFonts w:ascii="Corbel" w:eastAsiaTheme="minorEastAsia" w:hAnsi="Corbel"/>
      <w:b/>
      <w:bCs/>
      <w:sz w:val="36"/>
      <w:szCs w:val="36"/>
      <w:lang w:val="en-GB"/>
    </w:rPr>
  </w:style>
  <w:style w:type="character" w:customStyle="1" w:styleId="TitluComponentaChar">
    <w:name w:val="Titlu Componenta Char"/>
    <w:basedOn w:val="DefaultParagraphFont"/>
    <w:link w:val="TitluComponenta"/>
    <w:rsid w:val="0010386E"/>
    <w:rPr>
      <w:rFonts w:ascii="Corbel" w:eastAsiaTheme="minorEastAsia" w:hAnsi="Corbel"/>
      <w:b/>
      <w:bCs/>
      <w:sz w:val="36"/>
      <w:szCs w:val="36"/>
      <w:lang w:val="en-GB"/>
    </w:rPr>
  </w:style>
  <w:style w:type="paragraph" w:styleId="Header">
    <w:name w:val="header"/>
    <w:basedOn w:val="Normal"/>
    <w:link w:val="HeaderChar"/>
    <w:uiPriority w:val="99"/>
    <w:unhideWhenUsed/>
    <w:rsid w:val="001C22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2297"/>
  </w:style>
  <w:style w:type="paragraph" w:styleId="Footer">
    <w:name w:val="footer"/>
    <w:basedOn w:val="Normal"/>
    <w:link w:val="FooterChar"/>
    <w:uiPriority w:val="99"/>
    <w:unhideWhenUsed/>
    <w:rsid w:val="001C22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2297"/>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BD460B"/>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63BC"/>
  </w:style>
  <w:style w:type="character" w:customStyle="1" w:styleId="Heading2Char">
    <w:name w:val="Heading 2 Char"/>
    <w:basedOn w:val="DefaultParagraphFont"/>
    <w:link w:val="Heading2"/>
    <w:uiPriority w:val="9"/>
    <w:semiHidden/>
    <w:rsid w:val="002C7D6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3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9756">
      <w:bodyDiv w:val="1"/>
      <w:marLeft w:val="0"/>
      <w:marRight w:val="0"/>
      <w:marTop w:val="0"/>
      <w:marBottom w:val="0"/>
      <w:divBdr>
        <w:top w:val="none" w:sz="0" w:space="0" w:color="auto"/>
        <w:left w:val="none" w:sz="0" w:space="0" w:color="auto"/>
        <w:bottom w:val="none" w:sz="0" w:space="0" w:color="auto"/>
        <w:right w:val="none" w:sz="0" w:space="0" w:color="auto"/>
      </w:divBdr>
    </w:div>
    <w:div w:id="430004536">
      <w:bodyDiv w:val="1"/>
      <w:marLeft w:val="0"/>
      <w:marRight w:val="0"/>
      <w:marTop w:val="0"/>
      <w:marBottom w:val="0"/>
      <w:divBdr>
        <w:top w:val="none" w:sz="0" w:space="0" w:color="auto"/>
        <w:left w:val="none" w:sz="0" w:space="0" w:color="auto"/>
        <w:bottom w:val="none" w:sz="0" w:space="0" w:color="auto"/>
        <w:right w:val="none" w:sz="0" w:space="0" w:color="auto"/>
      </w:divBdr>
    </w:div>
    <w:div w:id="739982885">
      <w:bodyDiv w:val="1"/>
      <w:marLeft w:val="0"/>
      <w:marRight w:val="0"/>
      <w:marTop w:val="0"/>
      <w:marBottom w:val="0"/>
      <w:divBdr>
        <w:top w:val="none" w:sz="0" w:space="0" w:color="auto"/>
        <w:left w:val="none" w:sz="0" w:space="0" w:color="auto"/>
        <w:bottom w:val="none" w:sz="0" w:space="0" w:color="auto"/>
        <w:right w:val="none" w:sz="0" w:space="0" w:color="auto"/>
      </w:divBdr>
    </w:div>
    <w:div w:id="1095827800">
      <w:bodyDiv w:val="1"/>
      <w:marLeft w:val="0"/>
      <w:marRight w:val="0"/>
      <w:marTop w:val="0"/>
      <w:marBottom w:val="0"/>
      <w:divBdr>
        <w:top w:val="none" w:sz="0" w:space="0" w:color="auto"/>
        <w:left w:val="none" w:sz="0" w:space="0" w:color="auto"/>
        <w:bottom w:val="none" w:sz="0" w:space="0" w:color="auto"/>
        <w:right w:val="none" w:sz="0" w:space="0" w:color="auto"/>
      </w:divBdr>
    </w:div>
    <w:div w:id="1289629504">
      <w:bodyDiv w:val="1"/>
      <w:marLeft w:val="0"/>
      <w:marRight w:val="0"/>
      <w:marTop w:val="0"/>
      <w:marBottom w:val="0"/>
      <w:divBdr>
        <w:top w:val="none" w:sz="0" w:space="0" w:color="auto"/>
        <w:left w:val="none" w:sz="0" w:space="0" w:color="auto"/>
        <w:bottom w:val="none" w:sz="0" w:space="0" w:color="auto"/>
        <w:right w:val="none" w:sz="0" w:space="0" w:color="auto"/>
      </w:divBdr>
    </w:div>
    <w:div w:id="1531381695">
      <w:bodyDiv w:val="1"/>
      <w:marLeft w:val="0"/>
      <w:marRight w:val="0"/>
      <w:marTop w:val="0"/>
      <w:marBottom w:val="0"/>
      <w:divBdr>
        <w:top w:val="none" w:sz="0" w:space="0" w:color="auto"/>
        <w:left w:val="none" w:sz="0" w:space="0" w:color="auto"/>
        <w:bottom w:val="none" w:sz="0" w:space="0" w:color="auto"/>
        <w:right w:val="none" w:sz="0" w:space="0" w:color="auto"/>
      </w:divBdr>
    </w:div>
    <w:div w:id="1532106196">
      <w:bodyDiv w:val="1"/>
      <w:marLeft w:val="0"/>
      <w:marRight w:val="0"/>
      <w:marTop w:val="0"/>
      <w:marBottom w:val="0"/>
      <w:divBdr>
        <w:top w:val="none" w:sz="0" w:space="0" w:color="auto"/>
        <w:left w:val="none" w:sz="0" w:space="0" w:color="auto"/>
        <w:bottom w:val="none" w:sz="0" w:space="0" w:color="auto"/>
        <w:right w:val="none" w:sz="0" w:space="0" w:color="auto"/>
      </w:divBdr>
    </w:div>
    <w:div w:id="1688217350">
      <w:bodyDiv w:val="1"/>
      <w:marLeft w:val="0"/>
      <w:marRight w:val="0"/>
      <w:marTop w:val="0"/>
      <w:marBottom w:val="0"/>
      <w:divBdr>
        <w:top w:val="none" w:sz="0" w:space="0" w:color="auto"/>
        <w:left w:val="none" w:sz="0" w:space="0" w:color="auto"/>
        <w:bottom w:val="none" w:sz="0" w:space="0" w:color="auto"/>
        <w:right w:val="none" w:sz="0" w:space="0" w:color="auto"/>
      </w:divBdr>
    </w:div>
    <w:div w:id="1867786563">
      <w:bodyDiv w:val="1"/>
      <w:marLeft w:val="0"/>
      <w:marRight w:val="0"/>
      <w:marTop w:val="0"/>
      <w:marBottom w:val="0"/>
      <w:divBdr>
        <w:top w:val="none" w:sz="0" w:space="0" w:color="auto"/>
        <w:left w:val="none" w:sz="0" w:space="0" w:color="auto"/>
        <w:bottom w:val="none" w:sz="0" w:space="0" w:color="auto"/>
        <w:right w:val="none" w:sz="0" w:space="0" w:color="auto"/>
      </w:divBdr>
    </w:div>
    <w:div w:id="2057195297">
      <w:bodyDiv w:val="1"/>
      <w:marLeft w:val="0"/>
      <w:marRight w:val="0"/>
      <w:marTop w:val="0"/>
      <w:marBottom w:val="0"/>
      <w:divBdr>
        <w:top w:val="none" w:sz="0" w:space="0" w:color="auto"/>
        <w:left w:val="none" w:sz="0" w:space="0" w:color="auto"/>
        <w:bottom w:val="none" w:sz="0" w:space="0" w:color="auto"/>
        <w:right w:val="none" w:sz="0" w:space="0" w:color="auto"/>
      </w:divBdr>
      <w:divsChild>
        <w:div w:id="2014064006">
          <w:marLeft w:val="1123"/>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9440-5202-400D-94C2-2C4A5860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4412</Words>
  <Characters>25152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Iliuta</dc:creator>
  <cp:lastModifiedBy>Vlad Ilina</cp:lastModifiedBy>
  <cp:revision>3</cp:revision>
  <dcterms:created xsi:type="dcterms:W3CDTF">2021-05-31T00:09:00Z</dcterms:created>
  <dcterms:modified xsi:type="dcterms:W3CDTF">2021-05-31T00:09:00Z</dcterms:modified>
</cp:coreProperties>
</file>