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91E0" w14:textId="6AB62A7C" w:rsidR="00EA31A2" w:rsidRPr="00CC6B17" w:rsidRDefault="00CF07C9" w:rsidP="00EA31A2">
      <w:pPr>
        <w:pStyle w:val="Heading2"/>
        <w:spacing w:line="240" w:lineRule="auto"/>
        <w:jc w:val="both"/>
        <w:rPr>
          <w:rFonts w:asciiTheme="minorHAnsi" w:eastAsia="Times New Roman" w:hAnsiTheme="minorHAnsi" w:cs="Times New Roman"/>
          <w:b/>
          <w:color w:val="auto"/>
          <w:sz w:val="24"/>
          <w:szCs w:val="24"/>
          <w:lang w:val="ro-RO"/>
        </w:rPr>
      </w:pPr>
      <w:r w:rsidRPr="00EA31A2">
        <w:rPr>
          <w:rFonts w:asciiTheme="minorHAnsi" w:hAnsiTheme="minorHAnsi"/>
          <w:sz w:val="24"/>
          <w:szCs w:val="24"/>
          <w:highlight w:val="yellow"/>
          <w:lang w:val="it-IT"/>
        </w:rPr>
        <w:br w:type="textWrapping" w:clear="all"/>
      </w:r>
      <w:r w:rsidR="00A87E97">
        <w:rPr>
          <w:rFonts w:asciiTheme="minorHAnsi" w:eastAsia="Times New Roman" w:hAnsiTheme="minorHAnsi" w:cs="Times New Roman"/>
          <w:b/>
          <w:color w:val="auto"/>
          <w:sz w:val="24"/>
          <w:szCs w:val="24"/>
          <w:lang w:val="ro-RO"/>
        </w:rPr>
        <w:t xml:space="preserve">Anexa 3.2.3 - </w:t>
      </w:r>
      <w:r w:rsidR="00EA31A2" w:rsidRPr="00CC6B17">
        <w:rPr>
          <w:rFonts w:asciiTheme="minorHAnsi" w:eastAsia="Times New Roman" w:hAnsiTheme="minorHAnsi" w:cs="Times New Roman"/>
          <w:b/>
          <w:color w:val="auto"/>
          <w:sz w:val="24"/>
          <w:szCs w:val="24"/>
          <w:lang w:val="ro-RO"/>
        </w:rPr>
        <w:t>Componenta 3</w:t>
      </w:r>
      <w:r w:rsidR="004B1A75">
        <w:rPr>
          <w:rFonts w:asciiTheme="minorHAnsi" w:eastAsia="Times New Roman" w:hAnsiTheme="minorHAnsi" w:cs="Times New Roman"/>
          <w:b/>
          <w:color w:val="auto"/>
          <w:sz w:val="24"/>
          <w:szCs w:val="24"/>
          <w:lang w:val="ro-RO"/>
        </w:rPr>
        <w:t xml:space="preserve">. </w:t>
      </w:r>
      <w:r w:rsidR="00EA31A2" w:rsidRPr="00CC6B17">
        <w:rPr>
          <w:rFonts w:asciiTheme="minorHAnsi" w:eastAsia="Times New Roman" w:hAnsiTheme="minorHAnsi" w:cs="Times New Roman"/>
          <w:b/>
          <w:color w:val="auto"/>
          <w:sz w:val="24"/>
          <w:szCs w:val="24"/>
          <w:lang w:val="ro-RO"/>
        </w:rPr>
        <w:t xml:space="preserve">Managementul deșeurilor </w:t>
      </w:r>
    </w:p>
    <w:p w14:paraId="2A530E53" w14:textId="77777777" w:rsidR="00166536" w:rsidRPr="00EA31A2" w:rsidRDefault="00166536" w:rsidP="00AF2C55">
      <w:pPr>
        <w:rPr>
          <w:sz w:val="24"/>
          <w:szCs w:val="24"/>
        </w:rPr>
      </w:pPr>
    </w:p>
    <w:tbl>
      <w:tblPr>
        <w:tblStyle w:val="TableGrid"/>
        <w:tblW w:w="19953" w:type="dxa"/>
        <w:tblLook w:val="04A0" w:firstRow="1" w:lastRow="0" w:firstColumn="1" w:lastColumn="0" w:noHBand="0" w:noVBand="1"/>
      </w:tblPr>
      <w:tblGrid>
        <w:gridCol w:w="8046"/>
        <w:gridCol w:w="6379"/>
        <w:gridCol w:w="5528"/>
      </w:tblGrid>
      <w:tr w:rsidR="00EE30B5" w:rsidRPr="00EA31A2" w14:paraId="7C5A27E4" w14:textId="77777777" w:rsidTr="007D0E73">
        <w:trPr>
          <w:trHeight w:val="258"/>
        </w:trPr>
        <w:tc>
          <w:tcPr>
            <w:tcW w:w="8046" w:type="dxa"/>
            <w:shd w:val="clear" w:color="auto" w:fill="FFFF00"/>
          </w:tcPr>
          <w:p w14:paraId="4F5958B9" w14:textId="77777777" w:rsidR="00EE30B5" w:rsidRPr="00EA31A2" w:rsidRDefault="00EE30B5" w:rsidP="00E84DBB">
            <w:pPr>
              <w:rPr>
                <w:b/>
                <w:sz w:val="24"/>
                <w:szCs w:val="24"/>
              </w:rPr>
            </w:pPr>
            <w:r w:rsidRPr="00EA31A2">
              <w:rPr>
                <w:b/>
                <w:sz w:val="24"/>
                <w:szCs w:val="24"/>
                <w:highlight w:val="yellow"/>
              </w:rPr>
              <w:t>PNRR</w:t>
            </w:r>
          </w:p>
        </w:tc>
        <w:tc>
          <w:tcPr>
            <w:tcW w:w="6379" w:type="dxa"/>
            <w:shd w:val="clear" w:color="auto" w:fill="FFFF00"/>
          </w:tcPr>
          <w:p w14:paraId="31AD917E" w14:textId="77777777" w:rsidR="00EE30B5" w:rsidRPr="00EA31A2" w:rsidRDefault="00EE30B5" w:rsidP="006024EE">
            <w:pPr>
              <w:rPr>
                <w:b/>
                <w:sz w:val="24"/>
                <w:szCs w:val="24"/>
              </w:rPr>
            </w:pPr>
            <w:r w:rsidRPr="00EA31A2">
              <w:rPr>
                <w:b/>
                <w:sz w:val="24"/>
                <w:szCs w:val="24"/>
              </w:rPr>
              <w:t>PODD</w:t>
            </w:r>
          </w:p>
        </w:tc>
        <w:tc>
          <w:tcPr>
            <w:tcW w:w="5528" w:type="dxa"/>
            <w:shd w:val="clear" w:color="auto" w:fill="FFFF00"/>
          </w:tcPr>
          <w:p w14:paraId="6AB351E8" w14:textId="77777777" w:rsidR="00EE30B5" w:rsidRPr="00EA31A2" w:rsidRDefault="00EE30B5" w:rsidP="006024EE">
            <w:pPr>
              <w:rPr>
                <w:b/>
                <w:sz w:val="24"/>
                <w:szCs w:val="24"/>
              </w:rPr>
            </w:pPr>
            <w:r w:rsidRPr="00EA31A2">
              <w:rPr>
                <w:b/>
                <w:sz w:val="24"/>
                <w:szCs w:val="24"/>
              </w:rPr>
              <w:t>POTJ</w:t>
            </w:r>
          </w:p>
        </w:tc>
      </w:tr>
      <w:tr w:rsidR="00EE30B5" w:rsidRPr="00EA31A2" w14:paraId="2AF2012F" w14:textId="77777777" w:rsidTr="007D0E73">
        <w:trPr>
          <w:trHeight w:val="941"/>
        </w:trPr>
        <w:tc>
          <w:tcPr>
            <w:tcW w:w="8046" w:type="dxa"/>
            <w:shd w:val="clear" w:color="auto" w:fill="auto"/>
          </w:tcPr>
          <w:p w14:paraId="29B94446" w14:textId="59EE05D1" w:rsidR="00EE30B5" w:rsidRDefault="00EE30B5" w:rsidP="00CC6B17">
            <w:pPr>
              <w:jc w:val="both"/>
              <w:rPr>
                <w:b/>
                <w:sz w:val="24"/>
                <w:szCs w:val="24"/>
              </w:rPr>
            </w:pPr>
            <w:r w:rsidRPr="00CC6B17">
              <w:rPr>
                <w:b/>
                <w:sz w:val="24"/>
                <w:szCs w:val="24"/>
              </w:rPr>
              <w:t xml:space="preserve">Pilonul I. Tranziția Verde I.3 Managementul deșeurilor </w:t>
            </w:r>
          </w:p>
          <w:p w14:paraId="1B620E73" w14:textId="77777777" w:rsidR="00F43605" w:rsidRDefault="00F43605" w:rsidP="00CC6B17">
            <w:pPr>
              <w:jc w:val="both"/>
              <w:rPr>
                <w:b/>
                <w:sz w:val="24"/>
                <w:szCs w:val="24"/>
              </w:rPr>
            </w:pPr>
          </w:p>
          <w:p w14:paraId="59539AE5" w14:textId="1BD11E5B" w:rsidR="00F43605" w:rsidRPr="00CC6B17" w:rsidRDefault="00F43605" w:rsidP="00CC6B17">
            <w:pPr>
              <w:jc w:val="both"/>
              <w:rPr>
                <w:b/>
                <w:sz w:val="24"/>
                <w:szCs w:val="24"/>
              </w:rPr>
            </w:pPr>
            <w:r w:rsidRPr="00F43605">
              <w:rPr>
                <w:b/>
                <w:sz w:val="24"/>
                <w:szCs w:val="24"/>
              </w:rPr>
              <w:t xml:space="preserve">Buget: 1.204.000.000 EUR </w:t>
            </w:r>
          </w:p>
          <w:p w14:paraId="437D0161" w14:textId="77777777" w:rsidR="00EE30B5" w:rsidRPr="00EA31A2" w:rsidRDefault="00EE30B5" w:rsidP="00E84DBB">
            <w:pPr>
              <w:rPr>
                <w:b/>
                <w:sz w:val="24"/>
                <w:szCs w:val="24"/>
              </w:rPr>
            </w:pPr>
          </w:p>
        </w:tc>
        <w:tc>
          <w:tcPr>
            <w:tcW w:w="6379" w:type="dxa"/>
          </w:tcPr>
          <w:p w14:paraId="2DAAB8D0" w14:textId="77777777" w:rsidR="00EE30B5" w:rsidRPr="00EA31A2" w:rsidRDefault="00EE30B5" w:rsidP="007B739F">
            <w:pPr>
              <w:jc w:val="both"/>
              <w:rPr>
                <w:b/>
                <w:sz w:val="24"/>
                <w:szCs w:val="24"/>
                <w:u w:val="single"/>
                <w:lang w:val="it-IT"/>
              </w:rPr>
            </w:pPr>
            <w:r w:rsidRPr="00EA31A2">
              <w:rPr>
                <w:b/>
                <w:sz w:val="24"/>
                <w:szCs w:val="24"/>
                <w:lang w:val="it-IT"/>
              </w:rPr>
              <w:t xml:space="preserve">Prioritatea 3. </w:t>
            </w:r>
            <w:r w:rsidRPr="00EA31A2">
              <w:rPr>
                <w:sz w:val="24"/>
                <w:szCs w:val="24"/>
                <w:u w:val="single"/>
                <w:lang w:val="it-IT"/>
              </w:rPr>
              <w:t>Protecţia mediului prin conservarea biodiversităţii, asigurarea calităţii aerului şi remedierea siturilor contaminate</w:t>
            </w:r>
            <w:r w:rsidRPr="00EA31A2">
              <w:rPr>
                <w:b/>
                <w:sz w:val="24"/>
                <w:szCs w:val="24"/>
                <w:u w:val="single"/>
                <w:lang w:val="it-IT"/>
              </w:rPr>
              <w:t xml:space="preserve"> – P3 </w:t>
            </w:r>
            <w:r w:rsidRPr="00EA31A2">
              <w:rPr>
                <w:b/>
                <w:sz w:val="24"/>
                <w:szCs w:val="24"/>
              </w:rPr>
              <w:t>Buget:</w:t>
            </w:r>
            <w:r w:rsidRPr="00EA31A2">
              <w:rPr>
                <w:sz w:val="24"/>
                <w:szCs w:val="24"/>
              </w:rPr>
              <w:t xml:space="preserve">  160,000 FEDR + 28,235 BS</w:t>
            </w:r>
          </w:p>
        </w:tc>
        <w:tc>
          <w:tcPr>
            <w:tcW w:w="5528" w:type="dxa"/>
          </w:tcPr>
          <w:p w14:paraId="0980BD7C" w14:textId="77777777" w:rsidR="00EE30B5" w:rsidRPr="00EA31A2" w:rsidRDefault="00EE30B5" w:rsidP="006024EE">
            <w:pPr>
              <w:rPr>
                <w:sz w:val="24"/>
                <w:szCs w:val="24"/>
              </w:rPr>
            </w:pPr>
            <w:r w:rsidRPr="00EA31A2">
              <w:rPr>
                <w:b/>
                <w:sz w:val="24"/>
                <w:szCs w:val="24"/>
                <w:lang w:val="it-IT"/>
              </w:rPr>
              <w:t>Prioritatea 3.</w:t>
            </w:r>
            <w:r w:rsidRPr="00EA31A2">
              <w:rPr>
                <w:sz w:val="24"/>
                <w:szCs w:val="24"/>
                <w:lang w:val="it-IT"/>
              </w:rPr>
              <w:t xml:space="preserve"> </w:t>
            </w:r>
            <w:r w:rsidRPr="00EA31A2">
              <w:rPr>
                <w:sz w:val="24"/>
                <w:szCs w:val="24"/>
                <w:u w:val="single"/>
                <w:lang w:val="it-IT"/>
              </w:rPr>
              <w:t>O tranziție justă prin reducerea poluării și consolidarea economiei circulare</w:t>
            </w:r>
          </w:p>
        </w:tc>
      </w:tr>
      <w:tr w:rsidR="00EE30B5" w:rsidRPr="00EA31A2" w14:paraId="25FF04D5" w14:textId="77777777" w:rsidTr="007D0E73">
        <w:trPr>
          <w:trHeight w:val="5953"/>
        </w:trPr>
        <w:tc>
          <w:tcPr>
            <w:tcW w:w="8046" w:type="dxa"/>
          </w:tcPr>
          <w:p w14:paraId="21243853" w14:textId="77777777" w:rsidR="00EA31A2" w:rsidRPr="00EA31A2" w:rsidRDefault="00EA31A2" w:rsidP="00EA31A2">
            <w:pPr>
              <w:jc w:val="both"/>
              <w:rPr>
                <w:sz w:val="24"/>
                <w:szCs w:val="24"/>
              </w:rPr>
            </w:pPr>
            <w:r w:rsidRPr="00EA31A2">
              <w:rPr>
                <w:sz w:val="24"/>
                <w:szCs w:val="24"/>
              </w:rPr>
              <w:t>Investiții:</w:t>
            </w:r>
          </w:p>
          <w:p w14:paraId="0591903D" w14:textId="77777777" w:rsidR="00EA31A2" w:rsidRPr="00EA31A2" w:rsidRDefault="00EA31A2" w:rsidP="00EA31A2">
            <w:pPr>
              <w:jc w:val="both"/>
              <w:rPr>
                <w:sz w:val="24"/>
                <w:szCs w:val="24"/>
              </w:rPr>
            </w:pPr>
            <w:r w:rsidRPr="00EA31A2">
              <w:rPr>
                <w:sz w:val="24"/>
                <w:szCs w:val="24"/>
              </w:rPr>
              <w:t xml:space="preserve">I.1 </w:t>
            </w:r>
            <w:r w:rsidRPr="00CC6B17">
              <w:rPr>
                <w:b/>
                <w:sz w:val="24"/>
                <w:szCs w:val="24"/>
                <w:u w:val="single"/>
              </w:rPr>
              <w:t>Dezvoltarea, modernizarea și completarea sistemelor de management integrat al deșeurilor municipale</w:t>
            </w:r>
            <w:r w:rsidRPr="00EA31A2">
              <w:rPr>
                <w:sz w:val="24"/>
                <w:szCs w:val="24"/>
              </w:rPr>
              <w:t xml:space="preserve"> la nivel de județ sau la nivel de orașe/comune.</w:t>
            </w:r>
          </w:p>
          <w:p w14:paraId="3C571D99" w14:textId="77777777" w:rsidR="00EA31A2" w:rsidRPr="00EA31A2" w:rsidRDefault="00EA31A2" w:rsidP="00CC6B17">
            <w:pPr>
              <w:spacing w:before="240" w:after="240"/>
              <w:ind w:left="708"/>
              <w:jc w:val="both"/>
              <w:rPr>
                <w:rFonts w:eastAsia="Trebuchet MS" w:cs="Times New Roman"/>
                <w:sz w:val="24"/>
                <w:szCs w:val="24"/>
              </w:rPr>
            </w:pPr>
            <w:r w:rsidRPr="00EA31A2">
              <w:rPr>
                <w:rFonts w:eastAsia="Trebuchet MS" w:cs="Times New Roman"/>
                <w:sz w:val="24"/>
                <w:szCs w:val="24"/>
              </w:rPr>
              <w:t>a. centre de colectare cu aport voluntar, centre de pregătire pentru reutilizare pentru includerea în circuitul economic a materiilor prime secundare provenite din materialele recuperate de la populație sub formă de deșeuri;</w:t>
            </w:r>
          </w:p>
          <w:p w14:paraId="75173B37" w14:textId="77777777" w:rsidR="00EA31A2" w:rsidRPr="00EA31A2" w:rsidRDefault="00EA31A2" w:rsidP="00CC6B17">
            <w:pPr>
              <w:spacing w:before="240" w:after="240"/>
              <w:ind w:left="708"/>
              <w:jc w:val="both"/>
              <w:rPr>
                <w:rFonts w:eastAsia="Trebuchet MS" w:cs="Times New Roman"/>
                <w:sz w:val="24"/>
                <w:szCs w:val="24"/>
              </w:rPr>
            </w:pPr>
            <w:r w:rsidRPr="00EA31A2">
              <w:rPr>
                <w:rFonts w:eastAsia="Trebuchet MS" w:cs="Times New Roman"/>
                <w:sz w:val="24"/>
                <w:szCs w:val="24"/>
              </w:rPr>
              <w:t xml:space="preserve">b. insule ecologice digitalizate pentru colectarea separată a deșeurilor la nivel local;  </w:t>
            </w:r>
          </w:p>
          <w:p w14:paraId="17479582" w14:textId="77777777" w:rsidR="00EA31A2" w:rsidRPr="00EA31A2" w:rsidRDefault="00EA31A2" w:rsidP="00CC6B17">
            <w:pPr>
              <w:spacing w:before="240" w:after="240"/>
              <w:ind w:left="708"/>
              <w:jc w:val="both"/>
              <w:rPr>
                <w:rFonts w:eastAsia="Trebuchet MS" w:cs="Times New Roman"/>
                <w:sz w:val="24"/>
                <w:szCs w:val="24"/>
              </w:rPr>
            </w:pPr>
            <w:r w:rsidRPr="00EA31A2">
              <w:rPr>
                <w:rFonts w:eastAsia="Trebuchet MS" w:cs="Times New Roman"/>
                <w:sz w:val="24"/>
                <w:szCs w:val="24"/>
              </w:rPr>
              <w:t>c. alte investiții, conform PJGD / PMGD, privind colectarea separată, inclusiv a fluxurilor speciale de deșeuri (textile, baterii,  deșeuri din construcții și demolări etc), transportul și transferul deșeurilor;</w:t>
            </w:r>
          </w:p>
          <w:p w14:paraId="0A206433" w14:textId="7C309473" w:rsidR="00EE30B5" w:rsidRPr="00F43605" w:rsidRDefault="00EA31A2" w:rsidP="00F43605">
            <w:pPr>
              <w:spacing w:before="240" w:after="240"/>
              <w:ind w:left="708"/>
              <w:jc w:val="both"/>
              <w:rPr>
                <w:rFonts w:eastAsia="Trebuchet MS" w:cs="Times New Roman"/>
                <w:sz w:val="24"/>
                <w:szCs w:val="24"/>
              </w:rPr>
            </w:pPr>
            <w:r w:rsidRPr="00EA31A2">
              <w:rPr>
                <w:rFonts w:eastAsia="Trebuchet MS" w:cs="Times New Roman"/>
                <w:sz w:val="24"/>
                <w:szCs w:val="24"/>
              </w:rPr>
              <w:t xml:space="preserve">d. instalații de tratare  / reciclare deșeuri colectate separat în vederea atingerii țintelor de reciclare din pachetul economiei circulare.                                                   </w:t>
            </w:r>
            <w:r w:rsidR="00F43605">
              <w:rPr>
                <w:rFonts w:eastAsia="Trebuchet MS" w:cs="Times New Roman"/>
                <w:sz w:val="24"/>
                <w:szCs w:val="24"/>
              </w:rPr>
              <w:t xml:space="preserve">                             </w:t>
            </w:r>
          </w:p>
        </w:tc>
        <w:tc>
          <w:tcPr>
            <w:tcW w:w="6379" w:type="dxa"/>
          </w:tcPr>
          <w:p w14:paraId="17B0BF56" w14:textId="77777777" w:rsidR="00EE30B5" w:rsidRPr="00EA31A2" w:rsidRDefault="00EE30B5" w:rsidP="001D5D63">
            <w:pPr>
              <w:jc w:val="both"/>
              <w:rPr>
                <w:b/>
                <w:sz w:val="24"/>
                <w:szCs w:val="24"/>
                <w:u w:val="single"/>
              </w:rPr>
            </w:pPr>
            <w:r w:rsidRPr="00EA31A2">
              <w:rPr>
                <w:b/>
                <w:sz w:val="24"/>
                <w:szCs w:val="24"/>
                <w:u w:val="single"/>
              </w:rPr>
              <w:t xml:space="preserve">Prioritatea 2.Dezvoltarea infrastructurii de apă și apă uzată și tranziția la o  economie circulară </w:t>
            </w:r>
          </w:p>
          <w:p w14:paraId="72A912AB" w14:textId="77777777" w:rsidR="00EE30B5" w:rsidRPr="00EA31A2" w:rsidRDefault="00EE30B5" w:rsidP="00D92BEC">
            <w:pPr>
              <w:jc w:val="both"/>
              <w:rPr>
                <w:b/>
                <w:sz w:val="24"/>
                <w:szCs w:val="24"/>
                <w:u w:val="single"/>
                <w:lang w:val="it-IT"/>
              </w:rPr>
            </w:pPr>
          </w:p>
          <w:p w14:paraId="5B3E0E73" w14:textId="77777777" w:rsidR="00EE30B5" w:rsidRPr="00EA31A2" w:rsidRDefault="00EE30B5" w:rsidP="00D92BEC">
            <w:pPr>
              <w:jc w:val="both"/>
              <w:rPr>
                <w:b/>
                <w:sz w:val="24"/>
                <w:szCs w:val="24"/>
                <w:u w:val="single"/>
                <w:lang w:val="it-IT"/>
              </w:rPr>
            </w:pPr>
            <w:r w:rsidRPr="00EA31A2">
              <w:rPr>
                <w:b/>
                <w:sz w:val="24"/>
                <w:szCs w:val="24"/>
                <w:u w:val="single"/>
                <w:lang w:val="it-IT"/>
              </w:rPr>
              <w:t xml:space="preserve">Acțiunea 2.2 Gestionarea eficientă a </w:t>
            </w:r>
            <w:r w:rsidRPr="00CC6B17">
              <w:rPr>
                <w:b/>
                <w:sz w:val="24"/>
                <w:szCs w:val="24"/>
                <w:u w:val="single"/>
                <w:lang w:val="it-IT"/>
              </w:rPr>
              <w:t>deșeurilor</w:t>
            </w:r>
            <w:r w:rsidRPr="00EA31A2">
              <w:rPr>
                <w:b/>
                <w:sz w:val="24"/>
                <w:szCs w:val="24"/>
                <w:u w:val="single"/>
                <w:lang w:val="it-IT"/>
              </w:rPr>
              <w:t xml:space="preserve"> în vederea accelerării tranziției spre economia circulară, pentru a îndeplini cerințele directivelor de mediu</w:t>
            </w:r>
          </w:p>
          <w:p w14:paraId="76BD3401" w14:textId="77777777" w:rsidR="00EE30B5" w:rsidRPr="00EA31A2" w:rsidRDefault="00EE30B5" w:rsidP="00B064CF">
            <w:pPr>
              <w:ind w:left="708"/>
              <w:jc w:val="both"/>
              <w:rPr>
                <w:sz w:val="24"/>
                <w:szCs w:val="24"/>
              </w:rPr>
            </w:pPr>
            <w:r w:rsidRPr="00EA31A2">
              <w:rPr>
                <w:b/>
                <w:i/>
                <w:sz w:val="24"/>
                <w:szCs w:val="24"/>
              </w:rPr>
              <w:t>Beneficiari:</w:t>
            </w:r>
            <w:r w:rsidRPr="00EA31A2">
              <w:rPr>
                <w:sz w:val="24"/>
                <w:szCs w:val="24"/>
              </w:rPr>
              <w:t xml:space="preserve"> </w:t>
            </w:r>
            <w:proofErr w:type="spellStart"/>
            <w:r w:rsidRPr="00EA31A2">
              <w:rPr>
                <w:i/>
                <w:sz w:val="24"/>
                <w:szCs w:val="24"/>
              </w:rPr>
              <w:t>Asociaţiile</w:t>
            </w:r>
            <w:proofErr w:type="spellEnd"/>
            <w:r w:rsidRPr="00EA31A2">
              <w:rPr>
                <w:i/>
                <w:sz w:val="24"/>
                <w:szCs w:val="24"/>
              </w:rPr>
              <w:t xml:space="preserve"> de Dezvoltare Intercomunitară prin Consiliile Județene/ Primăria Municipiului </w:t>
            </w:r>
            <w:proofErr w:type="spellStart"/>
            <w:r w:rsidRPr="00EA31A2">
              <w:rPr>
                <w:i/>
                <w:sz w:val="24"/>
                <w:szCs w:val="24"/>
              </w:rPr>
              <w:t>Bucureşti</w:t>
            </w:r>
            <w:proofErr w:type="spellEnd"/>
            <w:r w:rsidRPr="00EA31A2">
              <w:rPr>
                <w:i/>
                <w:sz w:val="24"/>
                <w:szCs w:val="24"/>
              </w:rPr>
              <w:t>/primăriile de sector, Autorități publice centrale (ex. MMAP, ANPM, ANRSC)</w:t>
            </w:r>
          </w:p>
          <w:p w14:paraId="53810F96" w14:textId="77777777" w:rsidR="00EE30B5" w:rsidRPr="00EA31A2" w:rsidRDefault="00EE30B5" w:rsidP="006024EE">
            <w:pPr>
              <w:jc w:val="both"/>
              <w:rPr>
                <w:sz w:val="24"/>
                <w:szCs w:val="24"/>
              </w:rPr>
            </w:pPr>
          </w:p>
        </w:tc>
        <w:tc>
          <w:tcPr>
            <w:tcW w:w="5528" w:type="dxa"/>
          </w:tcPr>
          <w:p w14:paraId="193FC5D6" w14:textId="77777777" w:rsidR="00EE30B5" w:rsidRPr="00EA31A2" w:rsidRDefault="00EE30B5" w:rsidP="005A58CC">
            <w:pPr>
              <w:rPr>
                <w:b/>
                <w:sz w:val="24"/>
                <w:szCs w:val="24"/>
                <w:u w:val="single"/>
                <w:lang w:val="it-IT"/>
              </w:rPr>
            </w:pPr>
            <w:r w:rsidRPr="00EA31A2">
              <w:rPr>
                <w:b/>
                <w:sz w:val="24"/>
                <w:szCs w:val="24"/>
                <w:u w:val="single"/>
                <w:lang w:val="it-IT"/>
              </w:rPr>
              <w:t xml:space="preserve">Acțiunea 3.3 </w:t>
            </w:r>
            <w:r w:rsidRPr="00EA31A2">
              <w:rPr>
                <w:sz w:val="24"/>
                <w:szCs w:val="24"/>
                <w:u w:val="single"/>
                <w:lang w:val="it-IT"/>
              </w:rPr>
              <w:t xml:space="preserve">Investiții în </w:t>
            </w:r>
            <w:r w:rsidRPr="00CC6B17">
              <w:rPr>
                <w:sz w:val="24"/>
                <w:szCs w:val="24"/>
                <w:u w:val="single"/>
                <w:lang w:val="it-IT"/>
              </w:rPr>
              <w:t xml:space="preserve">schemele de gestionare a deșeurilor la nivel local </w:t>
            </w:r>
            <w:r w:rsidRPr="00EA31A2">
              <w:rPr>
                <w:sz w:val="24"/>
                <w:szCs w:val="24"/>
                <w:u w:val="single"/>
                <w:lang w:val="it-IT"/>
              </w:rPr>
              <w:t>în vederea consolidării economiei circulare</w:t>
            </w:r>
          </w:p>
          <w:p w14:paraId="3E955C23" w14:textId="77777777" w:rsidR="00EE30B5" w:rsidRPr="00EA31A2" w:rsidRDefault="00EE30B5" w:rsidP="005A58CC">
            <w:pPr>
              <w:rPr>
                <w:sz w:val="24"/>
                <w:szCs w:val="24"/>
                <w:u w:val="single"/>
                <w:lang w:val="it-IT"/>
              </w:rPr>
            </w:pPr>
            <w:r w:rsidRPr="00EA31A2">
              <w:rPr>
                <w:b/>
                <w:sz w:val="24"/>
                <w:szCs w:val="24"/>
                <w:u w:val="single"/>
                <w:lang w:val="it-IT"/>
              </w:rPr>
              <w:t xml:space="preserve">Acțiunea 3.4 </w:t>
            </w:r>
            <w:r w:rsidRPr="00EA31A2">
              <w:rPr>
                <w:sz w:val="24"/>
                <w:szCs w:val="24"/>
                <w:u w:val="single"/>
                <w:lang w:val="it-IT"/>
              </w:rPr>
              <w:t>Investiții în  decontaminarea cursurilor de apă poluate</w:t>
            </w:r>
          </w:p>
          <w:p w14:paraId="02FC89CE" w14:textId="77777777" w:rsidR="00EE30B5" w:rsidRPr="00EA31A2" w:rsidRDefault="00EE30B5" w:rsidP="005A58CC">
            <w:pPr>
              <w:rPr>
                <w:sz w:val="24"/>
                <w:szCs w:val="24"/>
                <w:u w:val="single"/>
                <w:lang w:val="it-IT"/>
              </w:rPr>
            </w:pPr>
            <w:r w:rsidRPr="00EA31A2">
              <w:rPr>
                <w:b/>
                <w:sz w:val="24"/>
                <w:szCs w:val="24"/>
                <w:u w:val="single"/>
                <w:lang w:val="it-IT"/>
              </w:rPr>
              <w:t xml:space="preserve">Acțiunea 3.5 </w:t>
            </w:r>
            <w:r w:rsidRPr="00EA31A2">
              <w:rPr>
                <w:sz w:val="24"/>
                <w:szCs w:val="24"/>
                <w:u w:val="single"/>
                <w:lang w:val="it-IT"/>
              </w:rPr>
              <w:t>Acțiuni de consolidare a capacităților tuturor părților interesate implicate în tranziția la economia circulară și pentru a promova economia circulară în întreprinderile mici și mijlocii</w:t>
            </w:r>
          </w:p>
          <w:p w14:paraId="2D3F4435" w14:textId="77777777" w:rsidR="00EE30B5" w:rsidRPr="00EA31A2" w:rsidRDefault="00EE30B5" w:rsidP="00B064CF">
            <w:pPr>
              <w:ind w:left="708"/>
              <w:rPr>
                <w:i/>
                <w:sz w:val="24"/>
                <w:szCs w:val="24"/>
              </w:rPr>
            </w:pPr>
            <w:r w:rsidRPr="00EA31A2">
              <w:rPr>
                <w:b/>
                <w:i/>
                <w:sz w:val="24"/>
                <w:szCs w:val="24"/>
              </w:rPr>
              <w:t>Beneficiari :</w:t>
            </w:r>
            <w:r w:rsidRPr="00EA31A2">
              <w:rPr>
                <w:i/>
                <w:sz w:val="24"/>
                <w:szCs w:val="24"/>
              </w:rPr>
              <w:t xml:space="preserve"> APL,ADI  si parteneriate ale acestora, întreprinderile mici și mijlocii</w:t>
            </w:r>
          </w:p>
          <w:p w14:paraId="6F286AB6" w14:textId="77777777" w:rsidR="00EE30B5" w:rsidRPr="00EA31A2" w:rsidRDefault="00EE30B5" w:rsidP="00B064CF">
            <w:pPr>
              <w:ind w:left="708"/>
              <w:rPr>
                <w:b/>
                <w:sz w:val="24"/>
                <w:szCs w:val="24"/>
                <w:u w:val="single"/>
                <w:lang w:val="it-IT"/>
              </w:rPr>
            </w:pPr>
            <w:r w:rsidRPr="00EA31A2">
              <w:rPr>
                <w:b/>
                <w:sz w:val="24"/>
                <w:szCs w:val="24"/>
              </w:rPr>
              <w:t>MINISTERUL INVESTIȚIILOR ȘI PROIECTELOR EUROPENE</w:t>
            </w:r>
          </w:p>
          <w:p w14:paraId="7C92C791" w14:textId="77777777" w:rsidR="00EE30B5" w:rsidRPr="00EA31A2" w:rsidRDefault="00EE30B5" w:rsidP="007B739F">
            <w:pPr>
              <w:jc w:val="both"/>
              <w:rPr>
                <w:sz w:val="24"/>
                <w:szCs w:val="24"/>
              </w:rPr>
            </w:pPr>
          </w:p>
        </w:tc>
      </w:tr>
      <w:tr w:rsidR="00CC6B17" w:rsidRPr="00EA31A2" w14:paraId="2C062B6D" w14:textId="77777777" w:rsidTr="007D0E73">
        <w:trPr>
          <w:trHeight w:val="831"/>
        </w:trPr>
        <w:tc>
          <w:tcPr>
            <w:tcW w:w="19953" w:type="dxa"/>
            <w:gridSpan w:val="3"/>
          </w:tcPr>
          <w:p w14:paraId="43691C4C" w14:textId="77777777" w:rsidR="00CC6B17" w:rsidRPr="00CC6B17" w:rsidRDefault="00CC6B17" w:rsidP="00CC6B17">
            <w:pPr>
              <w:rPr>
                <w:color w:val="FF0000"/>
                <w:sz w:val="24"/>
                <w:szCs w:val="24"/>
                <w:lang w:val="it-IT"/>
              </w:rPr>
            </w:pPr>
            <w:r w:rsidRPr="00CC6B17">
              <w:rPr>
                <w:color w:val="FF0000"/>
                <w:sz w:val="24"/>
                <w:szCs w:val="24"/>
                <w:lang w:val="it-IT"/>
              </w:rPr>
              <w:t>PNRR – se vor finanța proiectele noi aflate in pregătire si care nu sunt depuse in POIM + proiecte noi cu accent pe componenta  de colectare separata. Beneficiari ADI-uri + UAT individuale. Această măsură de investiții va fi implementată, în principal, prin achiziții centralizate la nivel național.</w:t>
            </w:r>
          </w:p>
          <w:p w14:paraId="326F5CF0" w14:textId="224E74E7" w:rsidR="00CC6B17" w:rsidRPr="00CC6B17" w:rsidRDefault="00CC6B17" w:rsidP="00CC6B17">
            <w:pPr>
              <w:rPr>
                <w:color w:val="FF0000"/>
                <w:sz w:val="24"/>
                <w:szCs w:val="24"/>
                <w:lang w:val="it-IT"/>
              </w:rPr>
            </w:pPr>
            <w:r w:rsidRPr="00CC6B17">
              <w:rPr>
                <w:color w:val="FF0000"/>
                <w:sz w:val="24"/>
                <w:szCs w:val="24"/>
                <w:lang w:val="it-IT"/>
              </w:rPr>
              <w:t>PODD - se vor finanța proiecte</w:t>
            </w:r>
            <w:r w:rsidR="00F43605">
              <w:rPr>
                <w:color w:val="FF0000"/>
                <w:sz w:val="24"/>
                <w:szCs w:val="24"/>
                <w:lang w:val="it-IT"/>
              </w:rPr>
              <w:t>le fazate (partea fără depozitar</w:t>
            </w:r>
            <w:r w:rsidRPr="00CC6B17">
              <w:rPr>
                <w:color w:val="FF0000"/>
                <w:sz w:val="24"/>
                <w:szCs w:val="24"/>
                <w:lang w:val="it-IT"/>
              </w:rPr>
              <w:t>e si incinerare, ci numai partea de economie circulară) + proiecte noi, cu accent pe tratare a deșeurilor colectate separat. Beneficiari ADI-uri</w:t>
            </w:r>
          </w:p>
          <w:p w14:paraId="754D280B" w14:textId="77777777" w:rsidR="00CC6B17" w:rsidRDefault="00CC6B17" w:rsidP="00CC6B17">
            <w:pPr>
              <w:rPr>
                <w:b/>
                <w:sz w:val="24"/>
                <w:szCs w:val="24"/>
                <w:u w:val="single"/>
                <w:lang w:val="it-IT"/>
              </w:rPr>
            </w:pPr>
            <w:r w:rsidRPr="00CC6B17">
              <w:rPr>
                <w:color w:val="FF0000"/>
                <w:sz w:val="24"/>
                <w:szCs w:val="24"/>
                <w:lang w:val="it-IT"/>
              </w:rPr>
              <w:t>POTJ – se va acorda sprijin pentru IMM-urile care prin activitatea lor contribuie la acțiunile de prevenire a generării de deșeuri și reducerea cantității acestora, precum și acțiuni de creștere a reutilizării eficiente și reciclării acestora</w:t>
            </w:r>
          </w:p>
        </w:tc>
      </w:tr>
      <w:tr w:rsidR="00CC6B17" w:rsidRPr="00EA31A2" w14:paraId="1929114B" w14:textId="77777777" w:rsidTr="007D0E73">
        <w:trPr>
          <w:trHeight w:val="831"/>
        </w:trPr>
        <w:tc>
          <w:tcPr>
            <w:tcW w:w="8046" w:type="dxa"/>
          </w:tcPr>
          <w:p w14:paraId="03BCD123" w14:textId="77777777" w:rsidR="00CC6B17" w:rsidRPr="00EA31A2" w:rsidRDefault="00CC6B17" w:rsidP="00CC6B17">
            <w:pPr>
              <w:jc w:val="both"/>
              <w:rPr>
                <w:sz w:val="24"/>
                <w:szCs w:val="24"/>
              </w:rPr>
            </w:pPr>
            <w:r w:rsidRPr="00EA31A2">
              <w:rPr>
                <w:sz w:val="24"/>
                <w:szCs w:val="24"/>
              </w:rPr>
              <w:t>I.2 Dezvoltarea infrastructurii pentru managementul gunoiului de grajd și al altor deșeuri agricole compostabile.</w:t>
            </w:r>
          </w:p>
          <w:p w14:paraId="7DAFEBB3" w14:textId="77777777" w:rsidR="00CC6B17" w:rsidRPr="00EA31A2" w:rsidRDefault="00CC6B17" w:rsidP="00EA31A2">
            <w:pPr>
              <w:jc w:val="both"/>
              <w:rPr>
                <w:sz w:val="24"/>
                <w:szCs w:val="24"/>
              </w:rPr>
            </w:pPr>
          </w:p>
        </w:tc>
        <w:tc>
          <w:tcPr>
            <w:tcW w:w="6379" w:type="dxa"/>
          </w:tcPr>
          <w:p w14:paraId="60F236E0" w14:textId="77777777" w:rsidR="00CC6B17" w:rsidRPr="00EA31A2" w:rsidRDefault="00CC6B17" w:rsidP="001D5D63">
            <w:pPr>
              <w:jc w:val="both"/>
              <w:rPr>
                <w:b/>
                <w:sz w:val="24"/>
                <w:szCs w:val="24"/>
                <w:u w:val="single"/>
              </w:rPr>
            </w:pPr>
            <w:r>
              <w:rPr>
                <w:b/>
                <w:sz w:val="24"/>
                <w:szCs w:val="24"/>
                <w:u w:val="single"/>
              </w:rPr>
              <w:t>NA</w:t>
            </w:r>
          </w:p>
        </w:tc>
        <w:tc>
          <w:tcPr>
            <w:tcW w:w="5528" w:type="dxa"/>
          </w:tcPr>
          <w:p w14:paraId="47300B29" w14:textId="77777777" w:rsidR="00CC6B17" w:rsidRPr="00EA31A2" w:rsidRDefault="00CC6B17" w:rsidP="005A58CC">
            <w:pPr>
              <w:rPr>
                <w:b/>
                <w:sz w:val="24"/>
                <w:szCs w:val="24"/>
                <w:u w:val="single"/>
                <w:lang w:val="it-IT"/>
              </w:rPr>
            </w:pPr>
            <w:r>
              <w:rPr>
                <w:b/>
                <w:sz w:val="24"/>
                <w:szCs w:val="24"/>
                <w:u w:val="single"/>
                <w:lang w:val="it-IT"/>
              </w:rPr>
              <w:t>NA</w:t>
            </w:r>
          </w:p>
        </w:tc>
      </w:tr>
      <w:tr w:rsidR="00CC6B17" w:rsidRPr="00EA31A2" w14:paraId="11954EC3" w14:textId="77777777" w:rsidTr="007D0E73">
        <w:trPr>
          <w:trHeight w:val="831"/>
        </w:trPr>
        <w:tc>
          <w:tcPr>
            <w:tcW w:w="8046" w:type="dxa"/>
          </w:tcPr>
          <w:p w14:paraId="57892537" w14:textId="77777777" w:rsidR="00CC6B17" w:rsidRDefault="00CC6B17" w:rsidP="00CC6B17">
            <w:pPr>
              <w:jc w:val="both"/>
              <w:rPr>
                <w:sz w:val="24"/>
                <w:szCs w:val="24"/>
              </w:rPr>
            </w:pPr>
            <w:r w:rsidRPr="00EA31A2">
              <w:rPr>
                <w:sz w:val="24"/>
                <w:szCs w:val="24"/>
              </w:rPr>
              <w:t>I.3 Dezvoltarea capacității tehnice și a competențelor în materie de economie circulară și de climă la nivelul instituțiilor publice centrale și locale.</w:t>
            </w:r>
          </w:p>
          <w:p w14:paraId="205DAC7E" w14:textId="3CB43961" w:rsidR="00CC6B17" w:rsidRPr="00EA31A2" w:rsidRDefault="00CC6B17" w:rsidP="00CC6B17">
            <w:pPr>
              <w:jc w:val="both"/>
              <w:rPr>
                <w:sz w:val="24"/>
                <w:szCs w:val="24"/>
              </w:rPr>
            </w:pPr>
          </w:p>
        </w:tc>
        <w:tc>
          <w:tcPr>
            <w:tcW w:w="6379" w:type="dxa"/>
          </w:tcPr>
          <w:p w14:paraId="44AF22A2" w14:textId="77777777" w:rsidR="00CC6B17" w:rsidRPr="00EA31A2" w:rsidRDefault="00CC6B17" w:rsidP="001D5D63">
            <w:pPr>
              <w:jc w:val="both"/>
              <w:rPr>
                <w:b/>
                <w:sz w:val="24"/>
                <w:szCs w:val="24"/>
                <w:u w:val="single"/>
              </w:rPr>
            </w:pPr>
            <w:r>
              <w:rPr>
                <w:b/>
                <w:sz w:val="24"/>
                <w:szCs w:val="24"/>
                <w:u w:val="single"/>
              </w:rPr>
              <w:t>NA</w:t>
            </w:r>
          </w:p>
        </w:tc>
        <w:tc>
          <w:tcPr>
            <w:tcW w:w="5528" w:type="dxa"/>
          </w:tcPr>
          <w:p w14:paraId="0DD077EC" w14:textId="77777777" w:rsidR="00CC6B17" w:rsidRPr="00EA31A2" w:rsidRDefault="00CC6B17" w:rsidP="005A58CC">
            <w:pPr>
              <w:rPr>
                <w:b/>
                <w:sz w:val="24"/>
                <w:szCs w:val="24"/>
                <w:u w:val="single"/>
                <w:lang w:val="it-IT"/>
              </w:rPr>
            </w:pPr>
            <w:r>
              <w:rPr>
                <w:b/>
                <w:sz w:val="24"/>
                <w:szCs w:val="24"/>
                <w:u w:val="single"/>
                <w:lang w:val="it-IT"/>
              </w:rPr>
              <w:t>NA</w:t>
            </w:r>
          </w:p>
        </w:tc>
      </w:tr>
    </w:tbl>
    <w:p w14:paraId="27FB40E5" w14:textId="77777777" w:rsidR="007B739F" w:rsidRDefault="007B739F" w:rsidP="007D0E73">
      <w:pPr>
        <w:rPr>
          <w:b/>
          <w:sz w:val="24"/>
          <w:szCs w:val="24"/>
          <w:highlight w:val="yellow"/>
        </w:rPr>
      </w:pPr>
    </w:p>
    <w:p w14:paraId="6CF5518D" w14:textId="77777777" w:rsidR="00E545E3" w:rsidRDefault="00E545E3" w:rsidP="007D0E73">
      <w:pPr>
        <w:rPr>
          <w:b/>
          <w:sz w:val="24"/>
          <w:szCs w:val="24"/>
          <w:highlight w:val="yellow"/>
        </w:rPr>
      </w:pPr>
    </w:p>
    <w:p w14:paraId="1A468F8D" w14:textId="77777777" w:rsidR="00E545E3" w:rsidRDefault="00E545E3" w:rsidP="007D0E73">
      <w:pPr>
        <w:rPr>
          <w:b/>
          <w:sz w:val="24"/>
          <w:szCs w:val="24"/>
          <w:highlight w:val="yellow"/>
        </w:rPr>
      </w:pPr>
    </w:p>
    <w:p w14:paraId="68D9CD8E" w14:textId="77777777" w:rsidR="00E545E3" w:rsidRDefault="00E545E3" w:rsidP="00E545E3"/>
    <w:tbl>
      <w:tblPr>
        <w:tblStyle w:val="TableGrid"/>
        <w:tblW w:w="21196" w:type="dxa"/>
        <w:tblLook w:val="04A0" w:firstRow="1" w:lastRow="0" w:firstColumn="1" w:lastColumn="0" w:noHBand="0" w:noVBand="1"/>
      </w:tblPr>
      <w:tblGrid>
        <w:gridCol w:w="10598"/>
        <w:gridCol w:w="10598"/>
      </w:tblGrid>
      <w:tr w:rsidR="00E545E3" w14:paraId="479B7640" w14:textId="77777777" w:rsidTr="00E545E3">
        <w:trPr>
          <w:trHeight w:val="248"/>
        </w:trPr>
        <w:tc>
          <w:tcPr>
            <w:tcW w:w="10598" w:type="dxa"/>
            <w:shd w:val="clear" w:color="auto" w:fill="FFFF00"/>
          </w:tcPr>
          <w:p w14:paraId="06AFB28E" w14:textId="77777777" w:rsidR="00E545E3" w:rsidRDefault="00E545E3" w:rsidP="006E5BF2">
            <w:pPr>
              <w:rPr>
                <w:b/>
              </w:rPr>
            </w:pPr>
            <w:r>
              <w:rPr>
                <w:b/>
              </w:rPr>
              <w:lastRenderedPageBreak/>
              <w:t>PNRR</w:t>
            </w:r>
          </w:p>
        </w:tc>
        <w:tc>
          <w:tcPr>
            <w:tcW w:w="10598" w:type="dxa"/>
            <w:shd w:val="clear" w:color="auto" w:fill="FFFF00"/>
          </w:tcPr>
          <w:p w14:paraId="1D61AFA1" w14:textId="77777777" w:rsidR="00E545E3" w:rsidRPr="00345683" w:rsidRDefault="00E545E3" w:rsidP="00294611">
            <w:pPr>
              <w:rPr>
                <w:b/>
              </w:rPr>
            </w:pPr>
            <w:r w:rsidRPr="00345683">
              <w:rPr>
                <w:b/>
              </w:rPr>
              <w:t>PODD</w:t>
            </w:r>
          </w:p>
        </w:tc>
      </w:tr>
      <w:tr w:rsidR="00E545E3" w:rsidRPr="00A83AE4" w14:paraId="370C1FCA" w14:textId="77777777" w:rsidTr="00E545E3">
        <w:trPr>
          <w:trHeight w:val="705"/>
        </w:trPr>
        <w:tc>
          <w:tcPr>
            <w:tcW w:w="10598" w:type="dxa"/>
          </w:tcPr>
          <w:p w14:paraId="32144905" w14:textId="707C9E44" w:rsidR="00E545E3" w:rsidRPr="00A83AE4" w:rsidRDefault="004A6328" w:rsidP="006E5BF2">
            <w:pPr>
              <w:rPr>
                <w:b/>
              </w:rPr>
            </w:pPr>
            <w:r>
              <w:rPr>
                <w:b/>
              </w:rPr>
              <w:t>Calitatea aerului</w:t>
            </w:r>
          </w:p>
        </w:tc>
        <w:tc>
          <w:tcPr>
            <w:tcW w:w="10598" w:type="dxa"/>
          </w:tcPr>
          <w:p w14:paraId="4F422181" w14:textId="77777777" w:rsidR="00E545E3" w:rsidRPr="00A70894" w:rsidRDefault="00E545E3" w:rsidP="00294611">
            <w:pPr>
              <w:jc w:val="both"/>
              <w:rPr>
                <w:b/>
                <w:u w:val="single"/>
                <w:lang w:val="it-IT"/>
              </w:rPr>
            </w:pPr>
            <w:r w:rsidRPr="00166536">
              <w:rPr>
                <w:b/>
                <w:lang w:val="it-IT"/>
              </w:rPr>
              <w:t xml:space="preserve">Prioritatea 3. </w:t>
            </w:r>
            <w:r w:rsidRPr="00166536">
              <w:rPr>
                <w:u w:val="single"/>
                <w:lang w:val="it-IT"/>
              </w:rPr>
              <w:t>Protecţia mediului prin conservarea biodiversităţii, asigurarea calităţii aerului şi remedierea siturilor contaminate</w:t>
            </w:r>
            <w:r>
              <w:rPr>
                <w:b/>
                <w:u w:val="single"/>
                <w:lang w:val="it-IT"/>
              </w:rPr>
              <w:t xml:space="preserve"> – P3 </w:t>
            </w:r>
            <w:r w:rsidRPr="00345683">
              <w:rPr>
                <w:b/>
              </w:rPr>
              <w:t>Buget:</w:t>
            </w:r>
            <w:r>
              <w:t xml:space="preserve">  </w:t>
            </w:r>
            <w:r w:rsidRPr="00166536">
              <w:t>160,000 FEDR</w:t>
            </w:r>
            <w:r>
              <w:t xml:space="preserve"> + </w:t>
            </w:r>
            <w:r w:rsidRPr="00166536">
              <w:t>28,235</w:t>
            </w:r>
            <w:r>
              <w:t xml:space="preserve"> BS</w:t>
            </w:r>
          </w:p>
        </w:tc>
      </w:tr>
      <w:tr w:rsidR="00E545E3" w14:paraId="0622715D" w14:textId="77777777" w:rsidTr="00E545E3">
        <w:trPr>
          <w:trHeight w:val="1088"/>
        </w:trPr>
        <w:tc>
          <w:tcPr>
            <w:tcW w:w="10598" w:type="dxa"/>
          </w:tcPr>
          <w:p w14:paraId="672C5EA0" w14:textId="77777777" w:rsidR="00E545E3" w:rsidRDefault="00E545E3" w:rsidP="006E5BF2">
            <w:pPr>
              <w:ind w:left="175" w:hanging="175"/>
              <w:jc w:val="both"/>
            </w:pPr>
          </w:p>
          <w:p w14:paraId="2C36FC97" w14:textId="77777777" w:rsidR="00E545E3" w:rsidRDefault="00E545E3" w:rsidP="006E5BF2">
            <w:pPr>
              <w:ind w:left="175" w:hanging="175"/>
              <w:jc w:val="both"/>
            </w:pPr>
            <w:r w:rsidRPr="00ED74F1">
              <w:t>b.</w:t>
            </w:r>
            <w:r w:rsidRPr="00ED74F1">
              <w:tab/>
              <w:t>Echipamente de monitorizare a calității aerului, radioactivității și zgomotului pentru Agenția Națională de Protecția Mediului (15 mil. euro)</w:t>
            </w:r>
          </w:p>
          <w:p w14:paraId="5484E5E0" w14:textId="77777777" w:rsidR="00E545E3" w:rsidRDefault="00E545E3" w:rsidP="006E5BF2">
            <w:pPr>
              <w:ind w:left="175" w:hanging="175"/>
              <w:jc w:val="both"/>
            </w:pPr>
          </w:p>
          <w:p w14:paraId="0973A4FC" w14:textId="77777777" w:rsidR="00E545E3" w:rsidRDefault="00E545E3" w:rsidP="00012094">
            <w:pPr>
              <w:ind w:left="142"/>
              <w:jc w:val="both"/>
            </w:pPr>
            <w:r w:rsidRPr="00ED74F1">
              <w:t xml:space="preserve">Prin achiziția de analizoare pentru determinarea Black Carbon, de stații pentru determinarea nivelului de radioactivitate și de zgomot, va crește nivelul de cunoaștere a calității aerului, radioactivității mediului și a </w:t>
            </w:r>
            <w:proofErr w:type="spellStart"/>
            <w:r w:rsidRPr="00ED74F1">
              <w:t>zgmotului</w:t>
            </w:r>
            <w:proofErr w:type="spellEnd"/>
            <w:r w:rsidRPr="00ED74F1">
              <w:t xml:space="preserve"> ambiant. Transmiterea, stocarea și realizarea raportărilor concentrațiilor de poluanți în mediul înconjurător obținute de la echipamentele ce urmează a fi achiziționate vor fi integrate cu ajutorului unei aplicații software, care va permite pe lângă agregarea și analiza datelor la nivel național și raportarea acestora la organismele europene, respectiv CE, Agenția Europeană de Mediu și </w:t>
            </w:r>
            <w:proofErr w:type="spellStart"/>
            <w:r w:rsidRPr="00ED74F1">
              <w:t>Euroatom</w:t>
            </w:r>
            <w:proofErr w:type="spellEnd"/>
            <w:r w:rsidRPr="00ED74F1">
              <w:t xml:space="preserve">.  </w:t>
            </w:r>
          </w:p>
          <w:p w14:paraId="348D0C86" w14:textId="77777777" w:rsidR="00E545E3" w:rsidRDefault="00E545E3" w:rsidP="006E5BF2">
            <w:pPr>
              <w:ind w:left="175" w:hanging="175"/>
              <w:jc w:val="both"/>
            </w:pPr>
          </w:p>
        </w:tc>
        <w:tc>
          <w:tcPr>
            <w:tcW w:w="10598" w:type="dxa"/>
          </w:tcPr>
          <w:p w14:paraId="22263444" w14:textId="77777777" w:rsidR="00E545E3" w:rsidRDefault="00E545E3" w:rsidP="00294611">
            <w:pPr>
              <w:jc w:val="both"/>
              <w:rPr>
                <w:lang w:val="it-IT"/>
              </w:rPr>
            </w:pPr>
            <w:r w:rsidRPr="002E751D">
              <w:rPr>
                <w:b/>
                <w:u w:val="single"/>
                <w:lang w:val="it-IT"/>
              </w:rPr>
              <w:t xml:space="preserve">Acțiunea 3.2 </w:t>
            </w:r>
            <w:r w:rsidRPr="00943811">
              <w:rPr>
                <w:lang w:val="it-IT"/>
              </w:rPr>
              <w:t xml:space="preserve">Îmbunătățirea </w:t>
            </w:r>
            <w:r w:rsidRPr="00012094">
              <w:rPr>
                <w:lang w:val="it-IT"/>
              </w:rPr>
              <w:t>monitorizării calității aerului</w:t>
            </w:r>
            <w:r w:rsidRPr="00943811">
              <w:rPr>
                <w:lang w:val="it-IT"/>
              </w:rPr>
              <w:t xml:space="preserve"> pentru îndeplinirea cerințelor de monitorizare și reducere a emisiilor rezultate din directive</w:t>
            </w:r>
          </w:p>
          <w:p w14:paraId="2EAFE866" w14:textId="77777777" w:rsidR="00012094" w:rsidRDefault="00012094" w:rsidP="00294611">
            <w:pPr>
              <w:jc w:val="both"/>
              <w:rPr>
                <w:lang w:val="it-IT"/>
              </w:rPr>
            </w:pPr>
          </w:p>
          <w:p w14:paraId="2D7366C6" w14:textId="39A0E7AD" w:rsidR="00012094" w:rsidRPr="00012094" w:rsidRDefault="00012094" w:rsidP="00012094">
            <w:pPr>
              <w:ind w:left="175"/>
              <w:jc w:val="both"/>
            </w:pPr>
            <w:r w:rsidRPr="00012094">
              <w:t xml:space="preserve">Intervenții/măsuri privind dotarea </w:t>
            </w:r>
            <w:proofErr w:type="spellStart"/>
            <w:r w:rsidR="002E0281" w:rsidRPr="002E0281">
              <w:t>Reţeaua</w:t>
            </w:r>
            <w:proofErr w:type="spellEnd"/>
            <w:r w:rsidR="002E0281" w:rsidRPr="002E0281">
              <w:t xml:space="preserve"> Naționala de Monitorizare a </w:t>
            </w:r>
            <w:r w:rsidR="00F43605" w:rsidRPr="002E0281">
              <w:t>Calității</w:t>
            </w:r>
            <w:r w:rsidR="002E0281" w:rsidRPr="002E0281">
              <w:t xml:space="preserve"> Aerului </w:t>
            </w:r>
            <w:r w:rsidR="002E0281">
              <w:t>(</w:t>
            </w:r>
            <w:r w:rsidRPr="00012094">
              <w:t>RNMCA</w:t>
            </w:r>
            <w:r w:rsidR="002E0281">
              <w:t>)</w:t>
            </w:r>
            <w:r w:rsidRPr="00012094">
              <w:t xml:space="preserve"> cu echipamente noi, prin înlocuirea sau </w:t>
            </w:r>
            <w:proofErr w:type="spellStart"/>
            <w:r w:rsidRPr="00012094">
              <w:t>up</w:t>
            </w:r>
            <w:proofErr w:type="spellEnd"/>
            <w:r w:rsidRPr="00012094">
              <w:t>-datarea echipamentelor existente de măsurare a poluanților uzate din punct de vedere moral și tehnic, astfel încât să se continue conformarea cu cerințele de asigurare și controlul calității datelor și de raportare a RO la CE, conform prevederilor directivelor europene.</w:t>
            </w:r>
          </w:p>
          <w:p w14:paraId="3F3A8BFA" w14:textId="77777777" w:rsidR="00012094" w:rsidRPr="00BD1687" w:rsidRDefault="00012094" w:rsidP="00294611">
            <w:pPr>
              <w:jc w:val="both"/>
              <w:rPr>
                <w:b/>
              </w:rPr>
            </w:pPr>
          </w:p>
          <w:p w14:paraId="4418CBB0" w14:textId="77777777" w:rsidR="00E545E3" w:rsidRDefault="00E545E3" w:rsidP="00294611">
            <w:pPr>
              <w:ind w:left="708"/>
              <w:jc w:val="both"/>
              <w:rPr>
                <w:i/>
              </w:rPr>
            </w:pPr>
            <w:r w:rsidRPr="006F6202">
              <w:rPr>
                <w:b/>
                <w:i/>
              </w:rPr>
              <w:t xml:space="preserve">Beneficiari </w:t>
            </w:r>
            <w:r w:rsidRPr="006F6202">
              <w:rPr>
                <w:i/>
              </w:rPr>
              <w:t>– Ministerul Mediului, Apelor și Pădurilor</w:t>
            </w:r>
          </w:p>
          <w:p w14:paraId="064AFEED" w14:textId="77777777" w:rsidR="00E545E3" w:rsidRDefault="00E545E3" w:rsidP="00294611">
            <w:pPr>
              <w:ind w:left="708"/>
              <w:jc w:val="both"/>
            </w:pPr>
          </w:p>
        </w:tc>
      </w:tr>
      <w:tr w:rsidR="00012094" w14:paraId="7676401C" w14:textId="77777777" w:rsidTr="006A21CD">
        <w:trPr>
          <w:trHeight w:val="1088"/>
        </w:trPr>
        <w:tc>
          <w:tcPr>
            <w:tcW w:w="21196" w:type="dxa"/>
            <w:gridSpan w:val="2"/>
          </w:tcPr>
          <w:p w14:paraId="7263B727" w14:textId="77777777" w:rsidR="00012094" w:rsidRPr="00012094" w:rsidRDefault="00012094" w:rsidP="000E54A3">
            <w:pPr>
              <w:jc w:val="both"/>
              <w:rPr>
                <w:lang w:val="it-IT"/>
              </w:rPr>
            </w:pPr>
            <w:r w:rsidRPr="00012094">
              <w:rPr>
                <w:color w:val="FF0000"/>
                <w:lang w:val="it-IT"/>
              </w:rPr>
              <w:t>Complementaritat</w:t>
            </w:r>
            <w:r>
              <w:rPr>
                <w:color w:val="FF0000"/>
                <w:lang w:val="it-IT"/>
              </w:rPr>
              <w:t xml:space="preserve">ea investitiilor este asigurata, ambele tipuri de investitii contribuind la </w:t>
            </w:r>
            <w:r w:rsidRPr="00012094">
              <w:rPr>
                <w:color w:val="FF0000"/>
                <w:lang w:val="it-IT"/>
              </w:rPr>
              <w:t xml:space="preserve">analiza datelor </w:t>
            </w:r>
            <w:r>
              <w:rPr>
                <w:color w:val="FF0000"/>
                <w:lang w:val="it-IT"/>
              </w:rPr>
              <w:t xml:space="preserve">privind calitatea aerului </w:t>
            </w:r>
            <w:r w:rsidRPr="00012094">
              <w:rPr>
                <w:color w:val="FF0000"/>
                <w:lang w:val="it-IT"/>
              </w:rPr>
              <w:t>la nivel național și raportarea acestora la organismele europene</w:t>
            </w:r>
            <w:r>
              <w:rPr>
                <w:color w:val="FF0000"/>
                <w:lang w:val="it-IT"/>
              </w:rPr>
              <w:t xml:space="preserve">. Prin PNRR se vor finanta </w:t>
            </w:r>
            <w:r w:rsidRPr="00012094">
              <w:rPr>
                <w:color w:val="FF0000"/>
                <w:lang w:val="it-IT"/>
              </w:rPr>
              <w:t>analizoare pentru determinarea Black Carbon, de stații pentru determinarea nivelului de radioactivitate și de zgomot,</w:t>
            </w:r>
            <w:r>
              <w:rPr>
                <w:color w:val="FF0000"/>
                <w:lang w:val="it-IT"/>
              </w:rPr>
              <w:t xml:space="preserve"> in timp ce prin PODD se vor finanta </w:t>
            </w:r>
            <w:r w:rsidR="000E54A3" w:rsidRPr="000E54A3">
              <w:rPr>
                <w:color w:val="FF0000"/>
                <w:lang w:val="it-IT"/>
              </w:rPr>
              <w:t>Intervenții/măsuri privind dotarea Reţeaua Naționala de Monitorizare a Calităţii Aerului (RNMCA) cu echipamente noi</w:t>
            </w:r>
            <w:r w:rsidR="000E54A3">
              <w:rPr>
                <w:color w:val="FF0000"/>
                <w:lang w:val="it-IT"/>
              </w:rPr>
              <w:t xml:space="preserve"> pentru </w:t>
            </w:r>
            <w:r w:rsidR="000E54A3" w:rsidRPr="000E54A3">
              <w:rPr>
                <w:color w:val="FF0000"/>
                <w:lang w:val="it-IT"/>
              </w:rPr>
              <w:t>dioxid de sulf (SO2), oxizi de azot (NOx), monoxid de carbon (CO), ozon (O3), particule în suspensie (PM10 şi PM2.5), benzen (C6H6), plumb (Pb), arsen (As), cadmiu (C</w:t>
            </w:r>
            <w:r w:rsidR="000E54A3">
              <w:rPr>
                <w:color w:val="FF0000"/>
                <w:lang w:val="it-IT"/>
              </w:rPr>
              <w:t xml:space="preserve">d), nichel (Ni), benzo(a)piren., compuși organici volatili- COVnm, amoniacului – NH3. </w:t>
            </w:r>
          </w:p>
        </w:tc>
      </w:tr>
    </w:tbl>
    <w:p w14:paraId="31867692" w14:textId="77777777" w:rsidR="00E545E3" w:rsidRPr="00EA31A2" w:rsidRDefault="00E545E3" w:rsidP="007D0E73">
      <w:pPr>
        <w:rPr>
          <w:b/>
          <w:sz w:val="24"/>
          <w:szCs w:val="24"/>
          <w:highlight w:val="yellow"/>
        </w:rPr>
      </w:pPr>
    </w:p>
    <w:sectPr w:rsidR="00E545E3" w:rsidRPr="00EA31A2" w:rsidSect="00AA511A">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9B7E" w14:textId="77777777" w:rsidR="0082440B" w:rsidRDefault="0082440B" w:rsidP="00EE30B5">
      <w:pPr>
        <w:spacing w:after="0" w:line="240" w:lineRule="auto"/>
      </w:pPr>
      <w:r>
        <w:separator/>
      </w:r>
    </w:p>
  </w:endnote>
  <w:endnote w:type="continuationSeparator" w:id="0">
    <w:p w14:paraId="5008EF88" w14:textId="77777777" w:rsidR="0082440B" w:rsidRDefault="0082440B" w:rsidP="00EE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4C51" w14:textId="77777777" w:rsidR="0082440B" w:rsidRDefault="0082440B" w:rsidP="00EE30B5">
      <w:pPr>
        <w:spacing w:after="0" w:line="240" w:lineRule="auto"/>
      </w:pPr>
      <w:r>
        <w:separator/>
      </w:r>
    </w:p>
  </w:footnote>
  <w:footnote w:type="continuationSeparator" w:id="0">
    <w:p w14:paraId="2ED554FE" w14:textId="77777777" w:rsidR="0082440B" w:rsidRDefault="0082440B" w:rsidP="00EE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3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1" w15:restartNumberingAfterBreak="0">
    <w:nsid w:val="200631FF"/>
    <w:multiLevelType w:val="hybridMultilevel"/>
    <w:tmpl w:val="7D8CF5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A920D04"/>
    <w:multiLevelType w:val="hybridMultilevel"/>
    <w:tmpl w:val="013A56B8"/>
    <w:lvl w:ilvl="0" w:tplc="0FD855CC">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77D135B"/>
    <w:multiLevelType w:val="hybridMultilevel"/>
    <w:tmpl w:val="5B380AC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62915"/>
    <w:multiLevelType w:val="hybridMultilevel"/>
    <w:tmpl w:val="4B3ED9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8E53686"/>
    <w:multiLevelType w:val="hybridMultilevel"/>
    <w:tmpl w:val="018CB7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52"/>
    <w:rsid w:val="000100C5"/>
    <w:rsid w:val="00012094"/>
    <w:rsid w:val="000A7917"/>
    <w:rsid w:val="000D0863"/>
    <w:rsid w:val="000E54A3"/>
    <w:rsid w:val="001014C9"/>
    <w:rsid w:val="00116DDC"/>
    <w:rsid w:val="00143C22"/>
    <w:rsid w:val="00166536"/>
    <w:rsid w:val="001958BB"/>
    <w:rsid w:val="001B53BB"/>
    <w:rsid w:val="001C4762"/>
    <w:rsid w:val="001D5D63"/>
    <w:rsid w:val="00212814"/>
    <w:rsid w:val="002266D2"/>
    <w:rsid w:val="0024504E"/>
    <w:rsid w:val="00246109"/>
    <w:rsid w:val="002B2B2D"/>
    <w:rsid w:val="002E0281"/>
    <w:rsid w:val="002E751D"/>
    <w:rsid w:val="003030E1"/>
    <w:rsid w:val="00334E6C"/>
    <w:rsid w:val="00345683"/>
    <w:rsid w:val="00351DAD"/>
    <w:rsid w:val="0038675B"/>
    <w:rsid w:val="003870F5"/>
    <w:rsid w:val="003C0521"/>
    <w:rsid w:val="00420D4A"/>
    <w:rsid w:val="00437231"/>
    <w:rsid w:val="004A6328"/>
    <w:rsid w:val="004B1A75"/>
    <w:rsid w:val="004B2B63"/>
    <w:rsid w:val="00534921"/>
    <w:rsid w:val="005A58CC"/>
    <w:rsid w:val="005D5B92"/>
    <w:rsid w:val="00600474"/>
    <w:rsid w:val="006715CA"/>
    <w:rsid w:val="006B783B"/>
    <w:rsid w:val="006F0E95"/>
    <w:rsid w:val="006F6202"/>
    <w:rsid w:val="007B739F"/>
    <w:rsid w:val="007D0E73"/>
    <w:rsid w:val="00800384"/>
    <w:rsid w:val="0082440B"/>
    <w:rsid w:val="00824C80"/>
    <w:rsid w:val="008938D2"/>
    <w:rsid w:val="00943811"/>
    <w:rsid w:val="00993D05"/>
    <w:rsid w:val="009A6EB9"/>
    <w:rsid w:val="009C7BAF"/>
    <w:rsid w:val="009E62EA"/>
    <w:rsid w:val="009F1B02"/>
    <w:rsid w:val="009F38AE"/>
    <w:rsid w:val="00A23710"/>
    <w:rsid w:val="00A70894"/>
    <w:rsid w:val="00A81A3F"/>
    <w:rsid w:val="00A83AE4"/>
    <w:rsid w:val="00A87E97"/>
    <w:rsid w:val="00AA511A"/>
    <w:rsid w:val="00AC203D"/>
    <w:rsid w:val="00AF2C55"/>
    <w:rsid w:val="00B064CF"/>
    <w:rsid w:val="00B3411B"/>
    <w:rsid w:val="00B4783F"/>
    <w:rsid w:val="00BD1687"/>
    <w:rsid w:val="00C125DC"/>
    <w:rsid w:val="00C76C42"/>
    <w:rsid w:val="00CC6B17"/>
    <w:rsid w:val="00CD4C17"/>
    <w:rsid w:val="00CF07C9"/>
    <w:rsid w:val="00D1013D"/>
    <w:rsid w:val="00D47854"/>
    <w:rsid w:val="00D55D1C"/>
    <w:rsid w:val="00D67258"/>
    <w:rsid w:val="00D92BEC"/>
    <w:rsid w:val="00DC400E"/>
    <w:rsid w:val="00DF2652"/>
    <w:rsid w:val="00E04CCA"/>
    <w:rsid w:val="00E545E3"/>
    <w:rsid w:val="00EA31A2"/>
    <w:rsid w:val="00EE30B5"/>
    <w:rsid w:val="00F43605"/>
    <w:rsid w:val="00F447E4"/>
    <w:rsid w:val="00F47BA7"/>
    <w:rsid w:val="00FC0F6E"/>
    <w:rsid w:val="00FF26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4CBE"/>
  <w15:docId w15:val="{1D5AEA7A-4E77-4FA5-8322-4663BD3C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31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6715CA"/>
    <w:pPr>
      <w:ind w:left="720"/>
      <w:contextualSpacing/>
    </w:pPr>
    <w:rPr>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715CA"/>
    <w:rPr>
      <w:lang w:val="en-US"/>
    </w:rPr>
  </w:style>
  <w:style w:type="paragraph" w:customStyle="1" w:styleId="Lista">
    <w:name w:val="Lista"/>
    <w:basedOn w:val="Normal"/>
    <w:link w:val="ListaChar"/>
    <w:qFormat/>
    <w:rsid w:val="00AC203D"/>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rsid w:val="00AC203D"/>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E30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30B5"/>
  </w:style>
  <w:style w:type="paragraph" w:styleId="Footer">
    <w:name w:val="footer"/>
    <w:basedOn w:val="Normal"/>
    <w:link w:val="FooterChar"/>
    <w:uiPriority w:val="99"/>
    <w:unhideWhenUsed/>
    <w:rsid w:val="00EE30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30B5"/>
  </w:style>
  <w:style w:type="character" w:customStyle="1" w:styleId="Heading2Char">
    <w:name w:val="Heading 2 Char"/>
    <w:basedOn w:val="DefaultParagraphFont"/>
    <w:link w:val="Heading2"/>
    <w:uiPriority w:val="9"/>
    <w:rsid w:val="00EA31A2"/>
    <w:rPr>
      <w:rFonts w:asciiTheme="majorHAnsi" w:eastAsiaTheme="majorEastAsia" w:hAnsiTheme="majorHAnsi" w:cstheme="majorBidi"/>
      <w:color w:val="365F91"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283">
      <w:bodyDiv w:val="1"/>
      <w:marLeft w:val="0"/>
      <w:marRight w:val="0"/>
      <w:marTop w:val="0"/>
      <w:marBottom w:val="0"/>
      <w:divBdr>
        <w:top w:val="none" w:sz="0" w:space="0" w:color="auto"/>
        <w:left w:val="none" w:sz="0" w:space="0" w:color="auto"/>
        <w:bottom w:val="none" w:sz="0" w:space="0" w:color="auto"/>
        <w:right w:val="none" w:sz="0" w:space="0" w:color="auto"/>
      </w:divBdr>
    </w:div>
    <w:div w:id="1623221816">
      <w:bodyDiv w:val="1"/>
      <w:marLeft w:val="0"/>
      <w:marRight w:val="0"/>
      <w:marTop w:val="0"/>
      <w:marBottom w:val="0"/>
      <w:divBdr>
        <w:top w:val="none" w:sz="0" w:space="0" w:color="auto"/>
        <w:left w:val="none" w:sz="0" w:space="0" w:color="auto"/>
        <w:bottom w:val="none" w:sz="0" w:space="0" w:color="auto"/>
        <w:right w:val="none" w:sz="0" w:space="0" w:color="auto"/>
      </w:divBdr>
      <w:divsChild>
        <w:div w:id="35013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6133-F34B-41C0-B1BF-A9EB866C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Iliuta</dc:creator>
  <cp:lastModifiedBy>Vlad Ilina</cp:lastModifiedBy>
  <cp:revision>2</cp:revision>
  <cp:lastPrinted>2021-05-12T11:44:00Z</cp:lastPrinted>
  <dcterms:created xsi:type="dcterms:W3CDTF">2021-05-31T00:03:00Z</dcterms:created>
  <dcterms:modified xsi:type="dcterms:W3CDTF">2021-05-31T00:03:00Z</dcterms:modified>
</cp:coreProperties>
</file>