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F79C" w14:textId="3FA5AF5B" w:rsidR="00EA31A2" w:rsidRPr="00850622" w:rsidRDefault="00CF07C9" w:rsidP="00EA31A2">
      <w:pPr>
        <w:pStyle w:val="Heading2"/>
        <w:spacing w:line="240" w:lineRule="auto"/>
        <w:jc w:val="both"/>
        <w:rPr>
          <w:rFonts w:asciiTheme="minorHAnsi" w:eastAsia="Times New Roman" w:hAnsiTheme="minorHAnsi" w:cs="Times New Roman"/>
          <w:b/>
          <w:color w:val="auto"/>
          <w:sz w:val="24"/>
          <w:szCs w:val="24"/>
          <w:lang w:val="ro-RO"/>
        </w:rPr>
      </w:pPr>
      <w:r w:rsidRPr="00850622">
        <w:rPr>
          <w:rFonts w:asciiTheme="minorHAnsi" w:hAnsiTheme="minorHAnsi"/>
          <w:sz w:val="24"/>
          <w:szCs w:val="24"/>
          <w:highlight w:val="yellow"/>
          <w:lang w:val="ro-RO"/>
        </w:rPr>
        <w:br w:type="textWrapping" w:clear="all"/>
      </w:r>
      <w:r w:rsidR="00BB5A54">
        <w:rPr>
          <w:rFonts w:asciiTheme="minorHAnsi" w:eastAsia="Times New Roman" w:hAnsiTheme="minorHAnsi" w:cs="Times New Roman"/>
          <w:b/>
          <w:color w:val="auto"/>
          <w:sz w:val="24"/>
          <w:szCs w:val="24"/>
          <w:lang w:val="ro-RO"/>
        </w:rPr>
        <w:t xml:space="preserve">Anexa 3.2.8 - </w:t>
      </w:r>
      <w:r w:rsidR="00A72F01" w:rsidRPr="00850622">
        <w:rPr>
          <w:rFonts w:asciiTheme="minorHAnsi" w:eastAsia="Times New Roman" w:hAnsiTheme="minorHAnsi" w:cs="Times New Roman"/>
          <w:b/>
          <w:color w:val="auto"/>
          <w:sz w:val="24"/>
          <w:szCs w:val="24"/>
          <w:lang w:val="ro-RO"/>
        </w:rPr>
        <w:t>COMPONENTA 1</w:t>
      </w:r>
      <w:r w:rsidR="006205E2" w:rsidRPr="00850622">
        <w:rPr>
          <w:rFonts w:asciiTheme="minorHAnsi" w:eastAsia="Times New Roman" w:hAnsiTheme="minorHAnsi" w:cs="Times New Roman"/>
          <w:b/>
          <w:color w:val="auto"/>
          <w:sz w:val="24"/>
          <w:szCs w:val="24"/>
          <w:lang w:val="ro-RO"/>
        </w:rPr>
        <w:t>0</w:t>
      </w:r>
      <w:r w:rsidR="00A72F01" w:rsidRPr="00850622">
        <w:rPr>
          <w:rFonts w:asciiTheme="minorHAnsi" w:eastAsia="Times New Roman" w:hAnsiTheme="minorHAnsi" w:cs="Times New Roman"/>
          <w:b/>
          <w:color w:val="auto"/>
          <w:sz w:val="24"/>
          <w:szCs w:val="24"/>
          <w:lang w:val="ro-RO"/>
        </w:rPr>
        <w:t>: Fondul</w:t>
      </w:r>
      <w:r w:rsidR="006205E2" w:rsidRPr="00850622">
        <w:rPr>
          <w:rFonts w:asciiTheme="minorHAnsi" w:eastAsia="Times New Roman" w:hAnsiTheme="minorHAnsi" w:cs="Times New Roman"/>
          <w:b/>
          <w:color w:val="auto"/>
          <w:sz w:val="24"/>
          <w:szCs w:val="24"/>
          <w:lang w:val="ro-RO"/>
        </w:rPr>
        <w:t xml:space="preserve"> Local Verde</w:t>
      </w:r>
    </w:p>
    <w:p w14:paraId="315E211F" w14:textId="77777777" w:rsidR="00166536" w:rsidRPr="00850622" w:rsidRDefault="00166536" w:rsidP="00AF2C55">
      <w:pPr>
        <w:rPr>
          <w:sz w:val="24"/>
          <w:szCs w:val="24"/>
        </w:rPr>
      </w:pPr>
    </w:p>
    <w:tbl>
      <w:tblPr>
        <w:tblStyle w:val="TableGrid"/>
        <w:tblW w:w="21978" w:type="dxa"/>
        <w:tblLook w:val="04A0" w:firstRow="1" w:lastRow="0" w:firstColumn="1" w:lastColumn="0" w:noHBand="0" w:noVBand="1"/>
      </w:tblPr>
      <w:tblGrid>
        <w:gridCol w:w="5294"/>
        <w:gridCol w:w="4162"/>
        <w:gridCol w:w="5092"/>
        <w:gridCol w:w="3723"/>
        <w:gridCol w:w="3707"/>
      </w:tblGrid>
      <w:tr w:rsidR="0030664B" w:rsidRPr="00850622" w14:paraId="1E8D8B46" w14:textId="77777777" w:rsidTr="0048781D">
        <w:trPr>
          <w:trHeight w:val="258"/>
        </w:trPr>
        <w:tc>
          <w:tcPr>
            <w:tcW w:w="4608" w:type="dxa"/>
            <w:shd w:val="clear" w:color="auto" w:fill="FFFF00"/>
          </w:tcPr>
          <w:p w14:paraId="03296913" w14:textId="77777777" w:rsidR="0030664B" w:rsidRPr="00850622" w:rsidRDefault="0030664B" w:rsidP="00E84DBB">
            <w:pPr>
              <w:rPr>
                <w:b/>
                <w:sz w:val="24"/>
                <w:szCs w:val="24"/>
              </w:rPr>
            </w:pPr>
            <w:r w:rsidRPr="00850622">
              <w:rPr>
                <w:b/>
                <w:sz w:val="24"/>
                <w:szCs w:val="24"/>
                <w:highlight w:val="yellow"/>
              </w:rPr>
              <w:t>PNRR</w:t>
            </w:r>
          </w:p>
        </w:tc>
        <w:tc>
          <w:tcPr>
            <w:tcW w:w="4320" w:type="dxa"/>
            <w:shd w:val="clear" w:color="auto" w:fill="FFFF00"/>
          </w:tcPr>
          <w:p w14:paraId="66B0A3F7" w14:textId="77777777" w:rsidR="0030664B" w:rsidRPr="00850622" w:rsidRDefault="0030664B" w:rsidP="006024EE">
            <w:pPr>
              <w:rPr>
                <w:b/>
                <w:sz w:val="24"/>
                <w:szCs w:val="24"/>
              </w:rPr>
            </w:pPr>
            <w:r w:rsidRPr="00850622">
              <w:rPr>
                <w:b/>
                <w:sz w:val="24"/>
                <w:szCs w:val="24"/>
              </w:rPr>
              <w:t>POR-uri</w:t>
            </w:r>
          </w:p>
        </w:tc>
        <w:tc>
          <w:tcPr>
            <w:tcW w:w="5130" w:type="dxa"/>
            <w:shd w:val="clear" w:color="auto" w:fill="FFFF00"/>
          </w:tcPr>
          <w:p w14:paraId="218F1F10" w14:textId="77777777" w:rsidR="0030664B" w:rsidRPr="00850622" w:rsidRDefault="0030664B" w:rsidP="006024EE">
            <w:pPr>
              <w:rPr>
                <w:b/>
                <w:sz w:val="24"/>
                <w:szCs w:val="24"/>
              </w:rPr>
            </w:pPr>
            <w:r w:rsidRPr="00850622">
              <w:rPr>
                <w:b/>
                <w:sz w:val="24"/>
                <w:szCs w:val="24"/>
              </w:rPr>
              <w:t>POT</w:t>
            </w:r>
          </w:p>
        </w:tc>
        <w:tc>
          <w:tcPr>
            <w:tcW w:w="3960" w:type="dxa"/>
            <w:shd w:val="clear" w:color="auto" w:fill="FFFF00"/>
          </w:tcPr>
          <w:p w14:paraId="0AA77B9D" w14:textId="77777777" w:rsidR="0030664B" w:rsidRPr="00850622" w:rsidRDefault="0030664B" w:rsidP="006024EE">
            <w:pPr>
              <w:rPr>
                <w:b/>
                <w:sz w:val="24"/>
                <w:szCs w:val="24"/>
              </w:rPr>
            </w:pPr>
            <w:r w:rsidRPr="00850622">
              <w:rPr>
                <w:b/>
                <w:sz w:val="24"/>
                <w:szCs w:val="24"/>
              </w:rPr>
              <w:t>POTJ</w:t>
            </w:r>
          </w:p>
        </w:tc>
        <w:tc>
          <w:tcPr>
            <w:tcW w:w="3960" w:type="dxa"/>
            <w:shd w:val="clear" w:color="auto" w:fill="FFFF00"/>
          </w:tcPr>
          <w:p w14:paraId="563DDE7F" w14:textId="77777777" w:rsidR="0030664B" w:rsidRPr="00850622" w:rsidRDefault="0030664B" w:rsidP="006024EE">
            <w:pPr>
              <w:rPr>
                <w:b/>
                <w:sz w:val="24"/>
                <w:szCs w:val="24"/>
              </w:rPr>
            </w:pPr>
            <w:r w:rsidRPr="00850622">
              <w:rPr>
                <w:b/>
                <w:sz w:val="24"/>
                <w:szCs w:val="24"/>
              </w:rPr>
              <w:t>POIDS</w:t>
            </w:r>
          </w:p>
        </w:tc>
      </w:tr>
      <w:tr w:rsidR="0030664B" w:rsidRPr="00850622" w14:paraId="6F51FAD9" w14:textId="77777777" w:rsidTr="0048781D">
        <w:trPr>
          <w:trHeight w:val="1641"/>
        </w:trPr>
        <w:tc>
          <w:tcPr>
            <w:tcW w:w="4608" w:type="dxa"/>
            <w:shd w:val="clear" w:color="auto" w:fill="auto"/>
          </w:tcPr>
          <w:p w14:paraId="44BAAB09" w14:textId="77777777" w:rsidR="0030664B" w:rsidRPr="00850622" w:rsidRDefault="0030664B" w:rsidP="00F13FBB">
            <w:pPr>
              <w:jc w:val="both"/>
              <w:rPr>
                <w:b/>
                <w:sz w:val="24"/>
                <w:szCs w:val="24"/>
              </w:rPr>
            </w:pPr>
            <w:r w:rsidRPr="00850622">
              <w:rPr>
                <w:b/>
                <w:sz w:val="24"/>
                <w:szCs w:val="24"/>
              </w:rPr>
              <w:t>Pilonul IV. Coeziune socială și teritorială</w:t>
            </w:r>
          </w:p>
          <w:p w14:paraId="205AB0CE" w14:textId="77777777" w:rsidR="000E365E" w:rsidRPr="00850622" w:rsidRDefault="000E365E" w:rsidP="00F13FBB">
            <w:pPr>
              <w:jc w:val="both"/>
              <w:rPr>
                <w:b/>
                <w:sz w:val="24"/>
                <w:szCs w:val="24"/>
              </w:rPr>
            </w:pPr>
          </w:p>
          <w:p w14:paraId="3724CDCD" w14:textId="5A1DC4B9" w:rsidR="000E365E" w:rsidRPr="00850622" w:rsidRDefault="00850622" w:rsidP="00F13FBB">
            <w:pPr>
              <w:jc w:val="both"/>
              <w:rPr>
                <w:b/>
                <w:sz w:val="24"/>
                <w:szCs w:val="24"/>
              </w:rPr>
            </w:pPr>
            <w:r w:rsidRPr="00850622">
              <w:rPr>
                <w:b/>
                <w:sz w:val="24"/>
                <w:szCs w:val="24"/>
              </w:rPr>
              <w:t>Cost total estimat</w:t>
            </w:r>
            <w:r w:rsidR="000E365E" w:rsidRPr="00850622">
              <w:rPr>
                <w:b/>
                <w:sz w:val="24"/>
                <w:szCs w:val="24"/>
              </w:rPr>
              <w:t>: 2.120.000.000 euro</w:t>
            </w:r>
          </w:p>
        </w:tc>
        <w:tc>
          <w:tcPr>
            <w:tcW w:w="4320" w:type="dxa"/>
          </w:tcPr>
          <w:p w14:paraId="19F8155B" w14:textId="77777777" w:rsidR="0030664B" w:rsidRPr="00850622" w:rsidRDefault="0030664B" w:rsidP="00F632E7">
            <w:pPr>
              <w:jc w:val="both"/>
              <w:rPr>
                <w:b/>
                <w:sz w:val="24"/>
                <w:szCs w:val="24"/>
                <w:u w:val="single"/>
              </w:rPr>
            </w:pPr>
            <w:r w:rsidRPr="00850622">
              <w:rPr>
                <w:b/>
                <w:sz w:val="24"/>
                <w:szCs w:val="24"/>
                <w:u w:val="single"/>
              </w:rPr>
              <w:t>Prioritate pentru mobilitate urbană sustenabilă</w:t>
            </w:r>
          </w:p>
          <w:p w14:paraId="5D57FC67" w14:textId="77777777" w:rsidR="0030664B" w:rsidRPr="00850622" w:rsidRDefault="0030664B" w:rsidP="00F632E7">
            <w:pPr>
              <w:jc w:val="both"/>
              <w:rPr>
                <w:b/>
                <w:sz w:val="24"/>
                <w:szCs w:val="24"/>
                <w:u w:val="single"/>
              </w:rPr>
            </w:pPr>
            <w:r w:rsidRPr="00850622">
              <w:rPr>
                <w:b/>
                <w:sz w:val="24"/>
                <w:szCs w:val="24"/>
                <w:u w:val="single"/>
              </w:rPr>
              <w:t>Buget:  1.541,28 FEDR, 271,990 BN</w:t>
            </w:r>
          </w:p>
        </w:tc>
        <w:tc>
          <w:tcPr>
            <w:tcW w:w="5130" w:type="dxa"/>
          </w:tcPr>
          <w:p w14:paraId="137AEC0A" w14:textId="52946E70" w:rsidR="0030664B" w:rsidRPr="00850622" w:rsidRDefault="0030664B" w:rsidP="00C572F8">
            <w:pPr>
              <w:rPr>
                <w:b/>
                <w:sz w:val="24"/>
                <w:szCs w:val="24"/>
                <w:u w:val="single"/>
              </w:rPr>
            </w:pPr>
            <w:r w:rsidRPr="00850622">
              <w:rPr>
                <w:b/>
                <w:sz w:val="24"/>
                <w:szCs w:val="24"/>
                <w:u w:val="single"/>
              </w:rPr>
              <w:t xml:space="preserve">Prioritatea 5 </w:t>
            </w:r>
            <w:r w:rsidRPr="00850622">
              <w:rPr>
                <w:sz w:val="24"/>
                <w:szCs w:val="24"/>
                <w:u w:val="single"/>
              </w:rPr>
              <w:t xml:space="preserve">Îmbunătățirea </w:t>
            </w:r>
            <w:r w:rsidR="00850622">
              <w:rPr>
                <w:sz w:val="24"/>
                <w:szCs w:val="24"/>
                <w:u w:val="single"/>
              </w:rPr>
              <w:t>conectivității prin creșterea g</w:t>
            </w:r>
            <w:r w:rsidRPr="00850622">
              <w:rPr>
                <w:sz w:val="24"/>
                <w:szCs w:val="24"/>
                <w:u w:val="single"/>
              </w:rPr>
              <w:t>r</w:t>
            </w:r>
            <w:r w:rsidR="00850622">
              <w:rPr>
                <w:sz w:val="24"/>
                <w:szCs w:val="24"/>
                <w:u w:val="single"/>
              </w:rPr>
              <w:t>a</w:t>
            </w:r>
            <w:r w:rsidRPr="00850622">
              <w:rPr>
                <w:sz w:val="24"/>
                <w:szCs w:val="24"/>
                <w:u w:val="single"/>
              </w:rPr>
              <w:t>dului de utiliz</w:t>
            </w:r>
            <w:r w:rsidR="00850622">
              <w:rPr>
                <w:sz w:val="24"/>
                <w:szCs w:val="24"/>
                <w:u w:val="single"/>
              </w:rPr>
              <w:t>are a transportului cu metroul î</w:t>
            </w:r>
            <w:r w:rsidRPr="00850622">
              <w:rPr>
                <w:sz w:val="24"/>
                <w:szCs w:val="24"/>
                <w:u w:val="single"/>
              </w:rPr>
              <w:t xml:space="preserve">n regiunea </w:t>
            </w:r>
            <w:r w:rsidR="00850622" w:rsidRPr="00850622">
              <w:rPr>
                <w:sz w:val="24"/>
                <w:szCs w:val="24"/>
                <w:u w:val="single"/>
              </w:rPr>
              <w:t>București</w:t>
            </w:r>
            <w:r w:rsidRPr="00850622">
              <w:rPr>
                <w:sz w:val="24"/>
                <w:szCs w:val="24"/>
                <w:u w:val="single"/>
              </w:rPr>
              <w:t>-Ilfov</w:t>
            </w:r>
          </w:p>
          <w:p w14:paraId="6DBDEF55" w14:textId="77777777" w:rsidR="0030664B" w:rsidRPr="00850622" w:rsidRDefault="0030664B" w:rsidP="00C572F8">
            <w:pPr>
              <w:rPr>
                <w:sz w:val="24"/>
                <w:szCs w:val="24"/>
                <w:u w:val="single"/>
              </w:rPr>
            </w:pPr>
          </w:p>
          <w:p w14:paraId="2A937675" w14:textId="77777777" w:rsidR="0030664B" w:rsidRPr="00850622" w:rsidRDefault="0030664B" w:rsidP="00C572F8">
            <w:pPr>
              <w:rPr>
                <w:sz w:val="24"/>
                <w:szCs w:val="24"/>
              </w:rPr>
            </w:pPr>
            <w:r w:rsidRPr="00850622">
              <w:rPr>
                <w:b/>
                <w:sz w:val="24"/>
                <w:szCs w:val="24"/>
              </w:rPr>
              <w:t>Buget 250.000.000 Euro FC</w:t>
            </w:r>
          </w:p>
        </w:tc>
        <w:tc>
          <w:tcPr>
            <w:tcW w:w="3960" w:type="dxa"/>
          </w:tcPr>
          <w:p w14:paraId="7634339A" w14:textId="77777777" w:rsidR="0030664B" w:rsidRPr="00850622" w:rsidRDefault="0030664B" w:rsidP="00417C1D">
            <w:pPr>
              <w:spacing w:after="200" w:line="276" w:lineRule="auto"/>
              <w:rPr>
                <w:u w:val="single"/>
              </w:rPr>
            </w:pPr>
            <w:r w:rsidRPr="00850622">
              <w:rPr>
                <w:b/>
                <w:u w:val="single"/>
              </w:rPr>
              <w:t xml:space="preserve">Prioritatea 2. </w:t>
            </w:r>
            <w:r w:rsidRPr="00850622">
              <w:rPr>
                <w:u w:val="single"/>
              </w:rPr>
              <w:t>O tranziție justă prin investiții în tehnologii și infrastructuri pentru energie curată cu emisii reduse</w:t>
            </w:r>
          </w:p>
          <w:p w14:paraId="4BAC97A0" w14:textId="77777777" w:rsidR="0030664B" w:rsidRPr="00850622" w:rsidRDefault="0030664B" w:rsidP="006024EE">
            <w:pPr>
              <w:rPr>
                <w:b/>
                <w:sz w:val="24"/>
                <w:szCs w:val="24"/>
              </w:rPr>
            </w:pPr>
          </w:p>
        </w:tc>
        <w:tc>
          <w:tcPr>
            <w:tcW w:w="3960" w:type="dxa"/>
          </w:tcPr>
          <w:p w14:paraId="3741B88E" w14:textId="4F120DAA" w:rsidR="0030664B" w:rsidRPr="00850622" w:rsidRDefault="0048781D" w:rsidP="00417C1D">
            <w:pPr>
              <w:rPr>
                <w:b/>
                <w:u w:val="single"/>
              </w:rPr>
            </w:pPr>
            <w:r w:rsidRPr="00850622">
              <w:rPr>
                <w:b/>
                <w:u w:val="single"/>
              </w:rPr>
              <w:t>Prioritatea 2 Protejare</w:t>
            </w:r>
            <w:r w:rsidR="00850622">
              <w:rPr>
                <w:b/>
                <w:u w:val="single"/>
              </w:rPr>
              <w:t>a dreptului la demnitate socială</w:t>
            </w:r>
          </w:p>
        </w:tc>
      </w:tr>
      <w:tr w:rsidR="0030664B" w:rsidRPr="00850622" w14:paraId="1A06C250" w14:textId="77777777" w:rsidTr="0048781D">
        <w:trPr>
          <w:trHeight w:val="5953"/>
        </w:trPr>
        <w:tc>
          <w:tcPr>
            <w:tcW w:w="4608" w:type="dxa"/>
          </w:tcPr>
          <w:p w14:paraId="371139D0" w14:textId="77777777" w:rsidR="0030664B" w:rsidRPr="00850622" w:rsidRDefault="0030664B" w:rsidP="00EA31A2">
            <w:pPr>
              <w:jc w:val="both"/>
              <w:rPr>
                <w:sz w:val="24"/>
                <w:szCs w:val="24"/>
              </w:rPr>
            </w:pPr>
            <w:r w:rsidRPr="00850622">
              <w:rPr>
                <w:sz w:val="24"/>
                <w:szCs w:val="24"/>
              </w:rPr>
              <w:t>Investiții:</w:t>
            </w:r>
          </w:p>
          <w:p w14:paraId="2AE3B874" w14:textId="77777777" w:rsidR="0030664B" w:rsidRPr="00850622" w:rsidRDefault="0030664B" w:rsidP="00A72F01">
            <w:pPr>
              <w:jc w:val="both"/>
              <w:rPr>
                <w:b/>
                <w:i/>
                <w:sz w:val="24"/>
                <w:szCs w:val="24"/>
              </w:rPr>
            </w:pPr>
            <w:r w:rsidRPr="00850622">
              <w:rPr>
                <w:sz w:val="24"/>
                <w:szCs w:val="24"/>
              </w:rPr>
              <w:t xml:space="preserve">I.1 </w:t>
            </w:r>
            <w:r w:rsidRPr="00850622">
              <w:rPr>
                <w:b/>
                <w:i/>
                <w:sz w:val="24"/>
                <w:szCs w:val="24"/>
              </w:rPr>
              <w:t>Intervenții pentru tranziția verde și digitală în municipiile reședință de județ</w:t>
            </w:r>
          </w:p>
          <w:p w14:paraId="7D281673" w14:textId="77777777" w:rsidR="0030664B" w:rsidRPr="00850622" w:rsidRDefault="0030664B" w:rsidP="0030664B">
            <w:pPr>
              <w:pStyle w:val="ListParagraph"/>
              <w:numPr>
                <w:ilvl w:val="0"/>
                <w:numId w:val="7"/>
              </w:numPr>
              <w:jc w:val="both"/>
              <w:rPr>
                <w:i/>
                <w:sz w:val="24"/>
                <w:szCs w:val="24"/>
                <w:lang w:val="ro-RO"/>
              </w:rPr>
            </w:pPr>
            <w:r w:rsidRPr="00850622">
              <w:rPr>
                <w:b/>
                <w:i/>
                <w:sz w:val="24"/>
                <w:szCs w:val="24"/>
                <w:lang w:val="ro-RO"/>
              </w:rPr>
              <w:t>Construirea de locuințe</w:t>
            </w:r>
            <w:r w:rsidRPr="00850622">
              <w:rPr>
                <w:i/>
                <w:sz w:val="24"/>
                <w:szCs w:val="24"/>
                <w:lang w:val="ro-RO"/>
              </w:rPr>
              <w:t xml:space="preserve"> pentru tineri/locuințe sociale/ locuințe de necesitate/ locuințe pentru specialiști din sănătate și învățământ;</w:t>
            </w:r>
          </w:p>
          <w:p w14:paraId="5EE1EBDF" w14:textId="4310E40B" w:rsidR="00090765" w:rsidRPr="00850622" w:rsidRDefault="0030664B" w:rsidP="00090765">
            <w:pPr>
              <w:numPr>
                <w:ilvl w:val="0"/>
                <w:numId w:val="7"/>
              </w:numPr>
              <w:jc w:val="both"/>
              <w:rPr>
                <w:i/>
                <w:sz w:val="24"/>
                <w:szCs w:val="24"/>
              </w:rPr>
            </w:pPr>
            <w:r w:rsidRPr="00850622">
              <w:rPr>
                <w:i/>
                <w:sz w:val="24"/>
                <w:szCs w:val="24"/>
              </w:rPr>
              <w:t xml:space="preserve">Mobilitatea urbană </w:t>
            </w:r>
            <w:r w:rsidR="00090765" w:rsidRPr="00850622">
              <w:rPr>
                <w:i/>
                <w:sz w:val="24"/>
                <w:szCs w:val="24"/>
              </w:rPr>
              <w:t>verde</w:t>
            </w:r>
            <w:r w:rsidRPr="00850622">
              <w:rPr>
                <w:i/>
                <w:sz w:val="24"/>
                <w:szCs w:val="24"/>
              </w:rPr>
              <w:t xml:space="preserve"> - </w:t>
            </w:r>
            <w:r w:rsidR="00090765" w:rsidRPr="00850622">
              <w:rPr>
                <w:i/>
                <w:sz w:val="24"/>
                <w:szCs w:val="24"/>
              </w:rPr>
              <w:t>schimbarea parcului de vehicule destinate transportului public</w:t>
            </w:r>
            <w:r w:rsidR="00850622" w:rsidRPr="00850622">
              <w:rPr>
                <w:i/>
                <w:sz w:val="24"/>
                <w:szCs w:val="24"/>
              </w:rPr>
              <w:t>;</w:t>
            </w:r>
          </w:p>
          <w:p w14:paraId="3765326A" w14:textId="0C0C5470" w:rsidR="0030664B" w:rsidRPr="00850622" w:rsidRDefault="0030664B" w:rsidP="00090765">
            <w:pPr>
              <w:numPr>
                <w:ilvl w:val="0"/>
                <w:numId w:val="7"/>
              </w:numPr>
              <w:jc w:val="both"/>
              <w:rPr>
                <w:i/>
                <w:sz w:val="24"/>
                <w:szCs w:val="24"/>
              </w:rPr>
            </w:pPr>
            <w:r w:rsidRPr="00850622">
              <w:rPr>
                <w:i/>
                <w:sz w:val="24"/>
                <w:szCs w:val="24"/>
              </w:rPr>
              <w:t xml:space="preserve">Mobilitatea urbană </w:t>
            </w:r>
            <w:r w:rsidR="00090765" w:rsidRPr="00850622">
              <w:rPr>
                <w:i/>
                <w:sz w:val="24"/>
                <w:szCs w:val="24"/>
              </w:rPr>
              <w:t>verde</w:t>
            </w:r>
            <w:r w:rsidRPr="00850622">
              <w:rPr>
                <w:i/>
                <w:sz w:val="24"/>
                <w:szCs w:val="24"/>
              </w:rPr>
              <w:t xml:space="preserve"> - </w:t>
            </w:r>
            <w:r w:rsidR="00090765" w:rsidRPr="00850622">
              <w:rPr>
                <w:i/>
                <w:sz w:val="24"/>
                <w:szCs w:val="24"/>
              </w:rPr>
              <w:t>asigurarea infrastructurii inteligente pentru transportul public</w:t>
            </w:r>
            <w:r w:rsidRPr="00850622">
              <w:rPr>
                <w:i/>
                <w:sz w:val="24"/>
                <w:szCs w:val="24"/>
              </w:rPr>
              <w:t>;</w:t>
            </w:r>
          </w:p>
          <w:p w14:paraId="404BEE11" w14:textId="198C2679" w:rsidR="0030664B" w:rsidRPr="00850622" w:rsidRDefault="00090765" w:rsidP="00090765">
            <w:pPr>
              <w:numPr>
                <w:ilvl w:val="0"/>
                <w:numId w:val="7"/>
              </w:numPr>
              <w:jc w:val="both"/>
              <w:rPr>
                <w:i/>
                <w:sz w:val="24"/>
                <w:szCs w:val="24"/>
              </w:rPr>
            </w:pPr>
            <w:r w:rsidRPr="00850622">
              <w:rPr>
                <w:i/>
                <w:sz w:val="24"/>
                <w:szCs w:val="24"/>
              </w:rPr>
              <w:t>Mobilitatea urbană verde - asigurarea infrastructurii pentru transportul verde - stații de încărcare pentru vehiculele electrice</w:t>
            </w:r>
            <w:r w:rsidR="0030664B" w:rsidRPr="00850622">
              <w:rPr>
                <w:i/>
                <w:sz w:val="24"/>
                <w:szCs w:val="24"/>
              </w:rPr>
              <w:t>;</w:t>
            </w:r>
          </w:p>
          <w:p w14:paraId="3BF8C8AF" w14:textId="2C62812D" w:rsidR="0030664B" w:rsidRPr="00850622" w:rsidRDefault="00090765" w:rsidP="00090765">
            <w:pPr>
              <w:numPr>
                <w:ilvl w:val="0"/>
                <w:numId w:val="7"/>
              </w:numPr>
              <w:jc w:val="both"/>
              <w:rPr>
                <w:i/>
                <w:sz w:val="24"/>
                <w:szCs w:val="24"/>
              </w:rPr>
            </w:pPr>
            <w:r w:rsidRPr="00850622">
              <w:rPr>
                <w:i/>
                <w:sz w:val="24"/>
                <w:szCs w:val="24"/>
              </w:rPr>
              <w:t>Mobilitatea urbană verde - asigurarea infrastructurii pentru biciclete și alte vehicule electrice ușoare</w:t>
            </w:r>
          </w:p>
        </w:tc>
        <w:tc>
          <w:tcPr>
            <w:tcW w:w="4320" w:type="dxa"/>
          </w:tcPr>
          <w:p w14:paraId="5237B87E" w14:textId="51494345" w:rsidR="0030664B" w:rsidRPr="00850622" w:rsidRDefault="00850622" w:rsidP="00C572F8">
            <w:pPr>
              <w:jc w:val="both"/>
              <w:rPr>
                <w:sz w:val="24"/>
                <w:szCs w:val="24"/>
              </w:rPr>
            </w:pPr>
            <w:r w:rsidRPr="00850622">
              <w:rPr>
                <w:b/>
                <w:sz w:val="24"/>
                <w:szCs w:val="24"/>
              </w:rPr>
              <w:t>Acțiuni</w:t>
            </w:r>
            <w:r w:rsidR="0030664B" w:rsidRPr="00850622">
              <w:rPr>
                <w:sz w:val="24"/>
                <w:szCs w:val="24"/>
              </w:rPr>
              <w:t>: pentru reducerea emisiilor de carbon prin investiții pentru dezvoltarea infrastructurii urbane curate (infrastructuri de transport, ciclism, material rulant, combustibili alternativi, culoare de mobilitate), bazate pe planurile de mobilitate urbana durabila.</w:t>
            </w:r>
          </w:p>
          <w:p w14:paraId="3EAD8839" w14:textId="77777777" w:rsidR="0030664B" w:rsidRPr="00850622" w:rsidRDefault="0030664B" w:rsidP="00C572F8">
            <w:pPr>
              <w:jc w:val="both"/>
              <w:rPr>
                <w:b/>
                <w:i/>
                <w:sz w:val="24"/>
                <w:szCs w:val="24"/>
              </w:rPr>
            </w:pPr>
            <w:r w:rsidRPr="00850622">
              <w:rPr>
                <w:b/>
                <w:i/>
                <w:sz w:val="24"/>
                <w:szCs w:val="24"/>
              </w:rPr>
              <w:t>Beneficiari :</w:t>
            </w:r>
            <w:r w:rsidRPr="00850622">
              <w:rPr>
                <w:i/>
                <w:sz w:val="24"/>
                <w:szCs w:val="24"/>
              </w:rPr>
              <w:t xml:space="preserve"> APL</w:t>
            </w:r>
          </w:p>
          <w:p w14:paraId="224FD35E" w14:textId="77777777" w:rsidR="0030664B" w:rsidRPr="00850622" w:rsidRDefault="0030664B" w:rsidP="00C572F8">
            <w:pPr>
              <w:ind w:left="708"/>
              <w:jc w:val="both"/>
              <w:rPr>
                <w:sz w:val="24"/>
                <w:szCs w:val="24"/>
              </w:rPr>
            </w:pPr>
          </w:p>
        </w:tc>
        <w:tc>
          <w:tcPr>
            <w:tcW w:w="5130" w:type="dxa"/>
          </w:tcPr>
          <w:p w14:paraId="6B6C7CC3" w14:textId="77777777" w:rsidR="0030664B" w:rsidRPr="00850622" w:rsidRDefault="0030664B" w:rsidP="00C572F8">
            <w:pPr>
              <w:spacing w:after="200" w:line="276" w:lineRule="auto"/>
              <w:jc w:val="both"/>
              <w:rPr>
                <w:rFonts w:eastAsia="Times New Roman" w:cs="Times New Roman"/>
                <w:bCs/>
                <w:iCs/>
                <w:sz w:val="24"/>
                <w:szCs w:val="24"/>
              </w:rPr>
            </w:pPr>
            <w:r w:rsidRPr="00850622">
              <w:rPr>
                <w:rFonts w:eastAsia="Times New Roman" w:cs="Times New Roman"/>
                <w:bCs/>
                <w:iCs/>
                <w:sz w:val="24"/>
                <w:szCs w:val="24"/>
              </w:rPr>
              <w:t>Se vor finanța operațiuni pentru:</w:t>
            </w:r>
          </w:p>
          <w:p w14:paraId="3BFB26D9" w14:textId="4C9B73F2" w:rsidR="0030664B" w:rsidRPr="00850622" w:rsidRDefault="00850622" w:rsidP="00C572F8">
            <w:pPr>
              <w:numPr>
                <w:ilvl w:val="0"/>
                <w:numId w:val="8"/>
              </w:numPr>
              <w:spacing w:before="120" w:after="200" w:line="276" w:lineRule="auto"/>
              <w:contextualSpacing/>
              <w:jc w:val="both"/>
              <w:rPr>
                <w:rFonts w:eastAsia="Times New Roman"/>
                <w:bCs/>
                <w:iCs/>
                <w:sz w:val="24"/>
                <w:szCs w:val="24"/>
              </w:rPr>
            </w:pPr>
            <w:r w:rsidRPr="00850622">
              <w:rPr>
                <w:rFonts w:eastAsia="Times New Roman"/>
                <w:bCs/>
                <w:iCs/>
                <w:sz w:val="24"/>
                <w:szCs w:val="24"/>
              </w:rPr>
              <w:t>Investiții</w:t>
            </w:r>
            <w:r w:rsidR="0030664B" w:rsidRPr="00850622">
              <w:rPr>
                <w:rFonts w:eastAsia="Times New Roman"/>
                <w:bCs/>
                <w:iCs/>
                <w:sz w:val="24"/>
                <w:szCs w:val="24"/>
              </w:rPr>
              <w:t xml:space="preserve"> în infrastructura de metrou (</w:t>
            </w:r>
            <w:r>
              <w:rPr>
                <w:rFonts w:eastAsia="Times New Roman"/>
                <w:bCs/>
                <w:iCs/>
                <w:sz w:val="24"/>
                <w:szCs w:val="24"/>
              </w:rPr>
              <w:t>noi tronsoane, stații aferente);</w:t>
            </w:r>
          </w:p>
          <w:p w14:paraId="2D0E1CCA" w14:textId="0F71E6A7" w:rsidR="0030664B" w:rsidRPr="00850622" w:rsidRDefault="00850622" w:rsidP="00C572F8">
            <w:pPr>
              <w:numPr>
                <w:ilvl w:val="0"/>
                <w:numId w:val="8"/>
              </w:numPr>
              <w:spacing w:before="120" w:after="200" w:line="276" w:lineRule="auto"/>
              <w:contextualSpacing/>
              <w:jc w:val="both"/>
              <w:rPr>
                <w:rFonts w:eastAsia="Times New Roman"/>
                <w:bCs/>
                <w:iCs/>
                <w:sz w:val="24"/>
                <w:szCs w:val="24"/>
              </w:rPr>
            </w:pPr>
            <w:r w:rsidRPr="00850622">
              <w:rPr>
                <w:rFonts w:eastAsia="Times New Roman"/>
                <w:bCs/>
                <w:iCs/>
                <w:sz w:val="24"/>
                <w:szCs w:val="24"/>
              </w:rPr>
              <w:t>Investiții</w:t>
            </w:r>
            <w:r w:rsidR="0030664B" w:rsidRPr="00850622">
              <w:rPr>
                <w:rFonts w:eastAsia="Times New Roman"/>
                <w:bCs/>
                <w:iCs/>
                <w:sz w:val="24"/>
                <w:szCs w:val="24"/>
              </w:rPr>
              <w:t xml:space="preserve"> în material rulant, modernizare </w:t>
            </w:r>
            <w:r w:rsidRPr="00850622">
              <w:rPr>
                <w:rFonts w:eastAsia="Times New Roman"/>
                <w:bCs/>
                <w:iCs/>
                <w:sz w:val="24"/>
                <w:szCs w:val="24"/>
              </w:rPr>
              <w:t>instalații</w:t>
            </w:r>
            <w:r>
              <w:rPr>
                <w:rFonts w:eastAsia="Times New Roman"/>
                <w:bCs/>
                <w:iCs/>
                <w:sz w:val="24"/>
                <w:szCs w:val="24"/>
              </w:rPr>
              <w:t>;</w:t>
            </w:r>
          </w:p>
          <w:p w14:paraId="11732F94" w14:textId="46ED6CCA" w:rsidR="0030664B" w:rsidRPr="00850622" w:rsidRDefault="00850622" w:rsidP="00C572F8">
            <w:pPr>
              <w:numPr>
                <w:ilvl w:val="0"/>
                <w:numId w:val="8"/>
              </w:numPr>
              <w:spacing w:before="120" w:after="200" w:line="276" w:lineRule="auto"/>
              <w:contextualSpacing/>
              <w:jc w:val="both"/>
              <w:rPr>
                <w:rFonts w:eastAsia="Times New Roman"/>
                <w:bCs/>
                <w:iCs/>
                <w:sz w:val="24"/>
                <w:szCs w:val="24"/>
              </w:rPr>
            </w:pPr>
            <w:r w:rsidRPr="00850622">
              <w:rPr>
                <w:rFonts w:eastAsia="Times New Roman"/>
                <w:bCs/>
                <w:iCs/>
                <w:sz w:val="24"/>
                <w:szCs w:val="24"/>
              </w:rPr>
              <w:t>Investiții</w:t>
            </w:r>
            <w:r w:rsidR="0030664B" w:rsidRPr="00850622">
              <w:rPr>
                <w:rFonts w:eastAsia="Times New Roman"/>
                <w:bCs/>
                <w:iCs/>
                <w:sz w:val="24"/>
                <w:szCs w:val="24"/>
              </w:rPr>
              <w:t xml:space="preserve"> în echipamente conexe, măsuri de creștere a accesibilității persoanelor cu deficiențe de deplasare, inclusiv sisteme de </w:t>
            </w:r>
            <w:r>
              <w:rPr>
                <w:rFonts w:eastAsia="Times New Roman"/>
                <w:bCs/>
                <w:iCs/>
                <w:sz w:val="24"/>
                <w:szCs w:val="24"/>
              </w:rPr>
              <w:t>siguranță;</w:t>
            </w:r>
          </w:p>
          <w:p w14:paraId="0AF4EB1B" w14:textId="0D78EDE0" w:rsidR="0030664B" w:rsidRPr="00850622" w:rsidRDefault="0030664B" w:rsidP="00C572F8">
            <w:pPr>
              <w:numPr>
                <w:ilvl w:val="0"/>
                <w:numId w:val="8"/>
              </w:numPr>
              <w:spacing w:before="120" w:after="200" w:line="276" w:lineRule="auto"/>
              <w:contextualSpacing/>
              <w:jc w:val="both"/>
              <w:rPr>
                <w:rFonts w:eastAsia="Times New Roman"/>
                <w:bCs/>
                <w:iCs/>
                <w:sz w:val="24"/>
                <w:szCs w:val="24"/>
              </w:rPr>
            </w:pPr>
            <w:r w:rsidRPr="00850622">
              <w:rPr>
                <w:rFonts w:eastAsia="Times New Roman"/>
                <w:bCs/>
                <w:iCs/>
                <w:sz w:val="24"/>
                <w:szCs w:val="24"/>
              </w:rPr>
              <w:t>Modernizarea stațiilor a căror condiții de desfășurare a călătoriilor nu corespund st</w:t>
            </w:r>
            <w:r w:rsidR="00850622">
              <w:rPr>
                <w:rFonts w:eastAsia="Times New Roman"/>
                <w:bCs/>
                <w:iCs/>
                <w:sz w:val="24"/>
                <w:szCs w:val="24"/>
              </w:rPr>
              <w:t>andardelor de siguranță actuale;</w:t>
            </w:r>
          </w:p>
          <w:p w14:paraId="70EC0FF8" w14:textId="1B48C1AC" w:rsidR="0030664B" w:rsidRPr="00850622" w:rsidRDefault="0030664B" w:rsidP="00C572F8">
            <w:pPr>
              <w:numPr>
                <w:ilvl w:val="0"/>
                <w:numId w:val="8"/>
              </w:numPr>
              <w:spacing w:before="120" w:after="200" w:line="276" w:lineRule="auto"/>
              <w:contextualSpacing/>
              <w:jc w:val="both"/>
              <w:rPr>
                <w:rFonts w:eastAsia="Times New Roman"/>
                <w:bCs/>
                <w:iCs/>
                <w:sz w:val="24"/>
                <w:szCs w:val="24"/>
              </w:rPr>
            </w:pPr>
            <w:r w:rsidRPr="00850622">
              <w:rPr>
                <w:rFonts w:eastAsia="Times New Roman"/>
                <w:bCs/>
                <w:iCs/>
                <w:sz w:val="24"/>
                <w:szCs w:val="24"/>
              </w:rPr>
              <w:t>Susținerea integrării căl</w:t>
            </w:r>
            <w:r w:rsidR="00850622">
              <w:rPr>
                <w:rFonts w:eastAsia="Times New Roman"/>
                <w:bCs/>
                <w:iCs/>
                <w:sz w:val="24"/>
                <w:szCs w:val="24"/>
              </w:rPr>
              <w:t>ă</w:t>
            </w:r>
            <w:r w:rsidRPr="00850622">
              <w:rPr>
                <w:rFonts w:eastAsia="Times New Roman"/>
                <w:bCs/>
                <w:iCs/>
                <w:sz w:val="24"/>
                <w:szCs w:val="24"/>
              </w:rPr>
              <w:t>toriilor la nivel metropolitan cu alte sisteme de transport public de călători.</w:t>
            </w:r>
          </w:p>
          <w:p w14:paraId="2B2DA0E5" w14:textId="77777777" w:rsidR="0030664B" w:rsidRPr="00850622" w:rsidRDefault="0030664B" w:rsidP="00C572F8">
            <w:pPr>
              <w:spacing w:after="200" w:line="276" w:lineRule="auto"/>
              <w:jc w:val="both"/>
              <w:rPr>
                <w:rFonts w:eastAsia="Times New Roman" w:cs="Times New Roman"/>
                <w:b/>
                <w:i/>
                <w:sz w:val="24"/>
                <w:szCs w:val="24"/>
              </w:rPr>
            </w:pPr>
            <w:r w:rsidRPr="00850622">
              <w:rPr>
                <w:rFonts w:eastAsia="Times New Roman" w:cs="Times New Roman"/>
                <w:b/>
                <w:i/>
                <w:sz w:val="24"/>
                <w:szCs w:val="24"/>
              </w:rPr>
              <w:t>Beneficiar:</w:t>
            </w:r>
          </w:p>
          <w:p w14:paraId="10823827" w14:textId="734A7513" w:rsidR="0030664B" w:rsidRPr="00850622" w:rsidRDefault="0030664B" w:rsidP="007178D3">
            <w:pPr>
              <w:spacing w:after="200" w:line="276" w:lineRule="auto"/>
              <w:jc w:val="both"/>
              <w:rPr>
                <w:rFonts w:eastAsia="Times New Roman"/>
                <w:i/>
                <w:sz w:val="24"/>
                <w:szCs w:val="24"/>
              </w:rPr>
            </w:pPr>
            <w:r w:rsidRPr="00850622">
              <w:rPr>
                <w:rFonts w:eastAsia="Times New Roman"/>
                <w:i/>
                <w:sz w:val="24"/>
                <w:szCs w:val="24"/>
              </w:rPr>
              <w:t>METROREX (inclusiv parteneriate cu PMB și primăriile de sector)</w:t>
            </w:r>
            <w:r w:rsidR="00850622">
              <w:rPr>
                <w:rFonts w:eastAsia="Times New Roman"/>
                <w:i/>
                <w:sz w:val="24"/>
                <w:szCs w:val="24"/>
              </w:rPr>
              <w:t>.</w:t>
            </w:r>
          </w:p>
          <w:p w14:paraId="6EB0E42A" w14:textId="77777777" w:rsidR="0030664B" w:rsidRPr="00850622" w:rsidRDefault="0030664B" w:rsidP="00B476F7">
            <w:pPr>
              <w:spacing w:after="200" w:line="276" w:lineRule="auto"/>
              <w:rPr>
                <w:rFonts w:eastAsia="Times New Roman"/>
                <w:i/>
                <w:sz w:val="24"/>
                <w:szCs w:val="24"/>
              </w:rPr>
            </w:pPr>
            <w:r w:rsidRPr="00850622">
              <w:rPr>
                <w:b/>
                <w:sz w:val="24"/>
                <w:szCs w:val="24"/>
              </w:rPr>
              <w:t>MINISTERUL TRANSPORTURILOR ȘI INFRASTRUCTURII</w:t>
            </w:r>
          </w:p>
        </w:tc>
        <w:tc>
          <w:tcPr>
            <w:tcW w:w="3960" w:type="dxa"/>
          </w:tcPr>
          <w:p w14:paraId="132E21B6" w14:textId="77777777" w:rsidR="0030664B" w:rsidRPr="00850622" w:rsidRDefault="0030664B" w:rsidP="00417C1D">
            <w:pPr>
              <w:spacing w:after="200" w:line="276" w:lineRule="auto"/>
              <w:jc w:val="both"/>
              <w:rPr>
                <w:u w:val="single"/>
              </w:rPr>
            </w:pPr>
            <w:r w:rsidRPr="00850622">
              <w:rPr>
                <w:b/>
                <w:u w:val="single"/>
              </w:rPr>
              <w:t xml:space="preserve">Acțiunea 2.5 </w:t>
            </w:r>
            <w:r w:rsidRPr="00850622">
              <w:rPr>
                <w:u w:val="single"/>
              </w:rPr>
              <w:t>Transportul urban inteligent și verde și infrastructura aferentă de încărcare</w:t>
            </w:r>
          </w:p>
          <w:p w14:paraId="6BCFFFBB" w14:textId="77777777" w:rsidR="0030664B" w:rsidRPr="00850622" w:rsidRDefault="0030664B" w:rsidP="00417C1D">
            <w:pPr>
              <w:spacing w:after="200" w:line="276" w:lineRule="auto"/>
              <w:jc w:val="both"/>
              <w:rPr>
                <w:b/>
                <w:i/>
              </w:rPr>
            </w:pPr>
            <w:r w:rsidRPr="00850622">
              <w:rPr>
                <w:b/>
                <w:i/>
              </w:rPr>
              <w:t>Beneficiari :</w:t>
            </w:r>
            <w:r w:rsidRPr="00850622">
              <w:rPr>
                <w:i/>
              </w:rPr>
              <w:t xml:space="preserve"> APL</w:t>
            </w:r>
          </w:p>
          <w:p w14:paraId="2592A71D" w14:textId="77777777" w:rsidR="0030664B" w:rsidRPr="00850622" w:rsidRDefault="0030664B" w:rsidP="005A58CC">
            <w:pPr>
              <w:rPr>
                <w:b/>
                <w:sz w:val="24"/>
                <w:szCs w:val="24"/>
                <w:u w:val="single"/>
              </w:rPr>
            </w:pPr>
          </w:p>
        </w:tc>
        <w:tc>
          <w:tcPr>
            <w:tcW w:w="3960" w:type="dxa"/>
          </w:tcPr>
          <w:p w14:paraId="0621D8E2" w14:textId="77777777" w:rsidR="0030664B" w:rsidRPr="00850622" w:rsidRDefault="0048781D" w:rsidP="00417C1D">
            <w:pPr>
              <w:jc w:val="both"/>
              <w:rPr>
                <w:b/>
                <w:u w:val="single"/>
              </w:rPr>
            </w:pPr>
            <w:r w:rsidRPr="00850622">
              <w:rPr>
                <w:b/>
                <w:u w:val="single"/>
              </w:rPr>
              <w:t>Acțiunea 2.1 Construirea de case sociale</w:t>
            </w:r>
          </w:p>
          <w:p w14:paraId="5B8A054E" w14:textId="77777777" w:rsidR="0048781D" w:rsidRPr="00850622" w:rsidRDefault="0048781D" w:rsidP="00417C1D">
            <w:pPr>
              <w:jc w:val="both"/>
              <w:rPr>
                <w:b/>
                <w:u w:val="single"/>
              </w:rPr>
            </w:pPr>
          </w:p>
          <w:p w14:paraId="58FA6BCF" w14:textId="77777777" w:rsidR="0048781D" w:rsidRPr="00850622" w:rsidRDefault="0048781D" w:rsidP="00417C1D">
            <w:pPr>
              <w:jc w:val="both"/>
              <w:rPr>
                <w:b/>
                <w:u w:val="single"/>
              </w:rPr>
            </w:pPr>
            <w:r w:rsidRPr="00850622">
              <w:rPr>
                <w:b/>
                <w:u w:val="single"/>
              </w:rPr>
              <w:t>Beneficiari: APL</w:t>
            </w:r>
          </w:p>
        </w:tc>
      </w:tr>
      <w:tr w:rsidR="0030664B" w:rsidRPr="00850622" w14:paraId="1D7D9B32" w14:textId="77777777" w:rsidTr="0048781D">
        <w:trPr>
          <w:trHeight w:val="831"/>
        </w:trPr>
        <w:tc>
          <w:tcPr>
            <w:tcW w:w="4608" w:type="dxa"/>
          </w:tcPr>
          <w:p w14:paraId="10592FF0" w14:textId="77777777" w:rsidR="0030664B" w:rsidRPr="00850622" w:rsidRDefault="0030664B" w:rsidP="00A72F01">
            <w:pPr>
              <w:jc w:val="both"/>
              <w:rPr>
                <w:b/>
                <w:i/>
                <w:sz w:val="24"/>
                <w:szCs w:val="24"/>
              </w:rPr>
            </w:pPr>
            <w:r w:rsidRPr="00850622">
              <w:rPr>
                <w:sz w:val="24"/>
                <w:szCs w:val="24"/>
              </w:rPr>
              <w:t xml:space="preserve">I.2 </w:t>
            </w:r>
            <w:r w:rsidRPr="00850622">
              <w:rPr>
                <w:b/>
                <w:i/>
                <w:sz w:val="24"/>
                <w:szCs w:val="24"/>
              </w:rPr>
              <w:t>Intervenții pentru tranziția verde și digitală în municipii, altele decât cele reședință de județ</w:t>
            </w:r>
          </w:p>
          <w:p w14:paraId="4890B87E" w14:textId="5082A8D3" w:rsidR="0030664B" w:rsidRPr="00850622" w:rsidRDefault="00090765" w:rsidP="00090765">
            <w:pPr>
              <w:pStyle w:val="ListParagraph"/>
              <w:numPr>
                <w:ilvl w:val="0"/>
                <w:numId w:val="7"/>
              </w:numPr>
              <w:jc w:val="both"/>
              <w:rPr>
                <w:i/>
                <w:sz w:val="24"/>
                <w:szCs w:val="24"/>
                <w:lang w:val="ro-RO"/>
              </w:rPr>
            </w:pPr>
            <w:r w:rsidRPr="00850622">
              <w:rPr>
                <w:i/>
                <w:sz w:val="24"/>
                <w:szCs w:val="24"/>
                <w:lang w:val="ro-RO"/>
              </w:rPr>
              <w:t>Construirea de locuințe pentru tineri/locuințe sociale/ locuințe de necesitate/ locuințe pentru specialiști din sănătate și învățământ</w:t>
            </w:r>
            <w:r w:rsidR="0030664B" w:rsidRPr="00850622">
              <w:rPr>
                <w:i/>
                <w:sz w:val="24"/>
                <w:szCs w:val="24"/>
                <w:lang w:val="ro-RO"/>
              </w:rPr>
              <w:t>;</w:t>
            </w:r>
          </w:p>
          <w:p w14:paraId="2EAADBD3" w14:textId="77777777" w:rsidR="00090765" w:rsidRPr="00850622" w:rsidRDefault="00090765" w:rsidP="00090765">
            <w:pPr>
              <w:numPr>
                <w:ilvl w:val="0"/>
                <w:numId w:val="7"/>
              </w:numPr>
              <w:jc w:val="both"/>
              <w:rPr>
                <w:i/>
                <w:sz w:val="24"/>
                <w:szCs w:val="24"/>
              </w:rPr>
            </w:pPr>
            <w:r w:rsidRPr="00850622">
              <w:rPr>
                <w:i/>
                <w:sz w:val="24"/>
                <w:szCs w:val="24"/>
              </w:rPr>
              <w:t>Mobilitatea urbană verde - schimbarea parcului de vehicule destinate transportului public</w:t>
            </w:r>
          </w:p>
          <w:p w14:paraId="465B6EE5" w14:textId="509D0CAE" w:rsidR="0030664B" w:rsidRPr="00850622" w:rsidRDefault="00090765" w:rsidP="00090765">
            <w:pPr>
              <w:numPr>
                <w:ilvl w:val="0"/>
                <w:numId w:val="7"/>
              </w:numPr>
              <w:jc w:val="both"/>
              <w:rPr>
                <w:i/>
                <w:sz w:val="24"/>
                <w:szCs w:val="24"/>
              </w:rPr>
            </w:pPr>
            <w:r w:rsidRPr="00850622">
              <w:rPr>
                <w:i/>
                <w:sz w:val="24"/>
                <w:szCs w:val="24"/>
              </w:rPr>
              <w:t>Mobilitatea urbană verde - asigurarea infrastructurii inteligente pentru transportul public</w:t>
            </w:r>
            <w:r w:rsidR="0030664B" w:rsidRPr="00850622">
              <w:rPr>
                <w:i/>
                <w:sz w:val="24"/>
                <w:szCs w:val="24"/>
              </w:rPr>
              <w:t>;</w:t>
            </w:r>
          </w:p>
          <w:p w14:paraId="3CBA21EE" w14:textId="75F1B6D2" w:rsidR="0030664B" w:rsidRPr="00850622" w:rsidRDefault="00090765" w:rsidP="00090765">
            <w:pPr>
              <w:numPr>
                <w:ilvl w:val="0"/>
                <w:numId w:val="7"/>
              </w:numPr>
              <w:jc w:val="both"/>
              <w:rPr>
                <w:i/>
                <w:sz w:val="24"/>
                <w:szCs w:val="24"/>
              </w:rPr>
            </w:pPr>
            <w:r w:rsidRPr="00850622">
              <w:rPr>
                <w:i/>
                <w:sz w:val="24"/>
                <w:szCs w:val="24"/>
              </w:rPr>
              <w:lastRenderedPageBreak/>
              <w:t>Mobilitatea urbană verde - asigurarea infrastructurii pentru transportul verde - stații de încărcare pentru vehiculele electrice</w:t>
            </w:r>
            <w:r w:rsidR="0030664B" w:rsidRPr="00850622">
              <w:rPr>
                <w:i/>
                <w:sz w:val="24"/>
                <w:szCs w:val="24"/>
              </w:rPr>
              <w:t>;</w:t>
            </w:r>
          </w:p>
          <w:p w14:paraId="66A05AD7" w14:textId="11CFDEEC" w:rsidR="0030664B" w:rsidRPr="00850622" w:rsidRDefault="00090765" w:rsidP="00090765">
            <w:pPr>
              <w:numPr>
                <w:ilvl w:val="0"/>
                <w:numId w:val="7"/>
              </w:numPr>
              <w:jc w:val="both"/>
              <w:rPr>
                <w:i/>
                <w:sz w:val="24"/>
                <w:szCs w:val="24"/>
              </w:rPr>
            </w:pPr>
            <w:r w:rsidRPr="00850622">
              <w:rPr>
                <w:i/>
                <w:sz w:val="24"/>
                <w:szCs w:val="24"/>
              </w:rPr>
              <w:t>Mobilitatea urbană verde - asigurarea infrastructurii pentru biciclete și alte vehicule electrice ușoare</w:t>
            </w:r>
          </w:p>
        </w:tc>
        <w:tc>
          <w:tcPr>
            <w:tcW w:w="4320" w:type="dxa"/>
          </w:tcPr>
          <w:p w14:paraId="30C9E331" w14:textId="77777777" w:rsidR="0030664B" w:rsidRPr="00850622" w:rsidRDefault="0030664B" w:rsidP="001D5D63">
            <w:pPr>
              <w:jc w:val="both"/>
              <w:rPr>
                <w:b/>
                <w:sz w:val="24"/>
                <w:szCs w:val="24"/>
                <w:u w:val="single"/>
              </w:rPr>
            </w:pPr>
          </w:p>
        </w:tc>
        <w:tc>
          <w:tcPr>
            <w:tcW w:w="5130" w:type="dxa"/>
          </w:tcPr>
          <w:p w14:paraId="4C1D96A8" w14:textId="77777777" w:rsidR="0030664B" w:rsidRPr="00850622" w:rsidRDefault="0030664B" w:rsidP="0047768B">
            <w:pPr>
              <w:rPr>
                <w:rFonts w:ascii="Trebuchet MS" w:hAnsi="Trebuchet MS"/>
                <w:b/>
                <w:sz w:val="20"/>
                <w:szCs w:val="20"/>
                <w:u w:val="single"/>
              </w:rPr>
            </w:pPr>
            <w:r w:rsidRPr="00850622">
              <w:rPr>
                <w:rFonts w:ascii="Trebuchet MS" w:hAnsi="Trebuchet MS"/>
                <w:b/>
                <w:sz w:val="20"/>
                <w:szCs w:val="20"/>
                <w:u w:val="single"/>
              </w:rPr>
              <w:t>Prioritatea 6</w:t>
            </w:r>
          </w:p>
          <w:p w14:paraId="26298C4A" w14:textId="3520033A" w:rsidR="0030664B" w:rsidRPr="00850622" w:rsidRDefault="00850622" w:rsidP="0047768B">
            <w:pPr>
              <w:rPr>
                <w:rFonts w:ascii="Trebuchet MS" w:hAnsi="Trebuchet MS"/>
                <w:sz w:val="20"/>
                <w:szCs w:val="20"/>
                <w:u w:val="single"/>
              </w:rPr>
            </w:pPr>
            <w:r>
              <w:rPr>
                <w:rFonts w:ascii="Trebuchet MS" w:hAnsi="Trebuchet MS"/>
                <w:sz w:val="20"/>
                <w:szCs w:val="20"/>
                <w:u w:val="single"/>
              </w:rPr>
              <w:t>Îmbunătățirea conectivității și mobilității urbane, durabilă ș</w:t>
            </w:r>
            <w:r w:rsidR="0030664B" w:rsidRPr="00850622">
              <w:rPr>
                <w:rFonts w:ascii="Trebuchet MS" w:hAnsi="Trebuchet MS"/>
                <w:sz w:val="20"/>
                <w:szCs w:val="20"/>
                <w:u w:val="single"/>
              </w:rPr>
              <w:t xml:space="preserve">i </w:t>
            </w:r>
            <w:proofErr w:type="spellStart"/>
            <w:r w:rsidRPr="00850622">
              <w:rPr>
                <w:rFonts w:ascii="Trebuchet MS" w:hAnsi="Trebuchet MS"/>
                <w:sz w:val="20"/>
                <w:szCs w:val="20"/>
                <w:u w:val="single"/>
              </w:rPr>
              <w:t>rezilientă</w:t>
            </w:r>
            <w:proofErr w:type="spellEnd"/>
            <w:r>
              <w:rPr>
                <w:rFonts w:ascii="Trebuchet MS" w:hAnsi="Trebuchet MS"/>
                <w:sz w:val="20"/>
                <w:szCs w:val="20"/>
                <w:u w:val="single"/>
              </w:rPr>
              <w:t xml:space="preserve"> î</w:t>
            </w:r>
            <w:r w:rsidR="0030664B" w:rsidRPr="00850622">
              <w:rPr>
                <w:rFonts w:ascii="Trebuchet MS" w:hAnsi="Trebuchet MS"/>
                <w:sz w:val="20"/>
                <w:szCs w:val="20"/>
                <w:u w:val="single"/>
              </w:rPr>
              <w:t xml:space="preserve">n fata </w:t>
            </w:r>
            <w:r w:rsidRPr="00850622">
              <w:rPr>
                <w:rFonts w:ascii="Trebuchet MS" w:hAnsi="Trebuchet MS"/>
                <w:sz w:val="20"/>
                <w:szCs w:val="20"/>
                <w:u w:val="single"/>
              </w:rPr>
              <w:t>schimbărilor</w:t>
            </w:r>
            <w:r w:rsidR="0030664B" w:rsidRPr="00850622">
              <w:rPr>
                <w:rFonts w:ascii="Trebuchet MS" w:hAnsi="Trebuchet MS"/>
                <w:sz w:val="20"/>
                <w:szCs w:val="20"/>
                <w:u w:val="single"/>
              </w:rPr>
              <w:t xml:space="preserve"> climatice prin creșterea calității servicii</w:t>
            </w:r>
            <w:r>
              <w:rPr>
                <w:rFonts w:ascii="Trebuchet MS" w:hAnsi="Trebuchet MS"/>
                <w:sz w:val="20"/>
                <w:szCs w:val="20"/>
                <w:u w:val="single"/>
              </w:rPr>
              <w:t>lor de transport pe calea ferată</w:t>
            </w:r>
          </w:p>
          <w:p w14:paraId="22F7C3E2" w14:textId="77777777" w:rsidR="0030664B" w:rsidRPr="00850622" w:rsidRDefault="0030664B" w:rsidP="0047768B">
            <w:pPr>
              <w:rPr>
                <w:rFonts w:ascii="Trebuchet MS" w:hAnsi="Trebuchet MS"/>
                <w:sz w:val="20"/>
                <w:szCs w:val="20"/>
                <w:u w:val="single"/>
              </w:rPr>
            </w:pPr>
          </w:p>
          <w:p w14:paraId="16227624" w14:textId="77777777" w:rsidR="0030664B" w:rsidRPr="00850622" w:rsidRDefault="0030664B" w:rsidP="0047768B">
            <w:pPr>
              <w:rPr>
                <w:rFonts w:ascii="Trebuchet MS" w:hAnsi="Trebuchet MS"/>
                <w:b/>
                <w:sz w:val="20"/>
                <w:szCs w:val="20"/>
              </w:rPr>
            </w:pPr>
            <w:r w:rsidRPr="00850622">
              <w:rPr>
                <w:rFonts w:ascii="Trebuchet MS" w:hAnsi="Trebuchet MS"/>
                <w:b/>
                <w:sz w:val="20"/>
                <w:szCs w:val="20"/>
                <w:u w:val="single"/>
              </w:rPr>
              <w:t>Buget 350.000.000 euro FEDR</w:t>
            </w:r>
          </w:p>
        </w:tc>
        <w:tc>
          <w:tcPr>
            <w:tcW w:w="3960" w:type="dxa"/>
          </w:tcPr>
          <w:p w14:paraId="431B1008" w14:textId="77777777" w:rsidR="0030664B" w:rsidRPr="00850622" w:rsidRDefault="0030664B" w:rsidP="005A58CC">
            <w:pPr>
              <w:rPr>
                <w:b/>
                <w:sz w:val="24"/>
                <w:szCs w:val="24"/>
                <w:u w:val="single"/>
              </w:rPr>
            </w:pPr>
          </w:p>
        </w:tc>
        <w:tc>
          <w:tcPr>
            <w:tcW w:w="3960" w:type="dxa"/>
          </w:tcPr>
          <w:p w14:paraId="0042CB4B" w14:textId="77777777" w:rsidR="0030664B" w:rsidRPr="00850622" w:rsidRDefault="0030664B" w:rsidP="005A58CC">
            <w:pPr>
              <w:rPr>
                <w:b/>
                <w:sz w:val="24"/>
                <w:szCs w:val="24"/>
                <w:u w:val="single"/>
              </w:rPr>
            </w:pPr>
          </w:p>
        </w:tc>
      </w:tr>
      <w:tr w:rsidR="0030664B" w:rsidRPr="00850622" w14:paraId="4269F193" w14:textId="77777777" w:rsidTr="0048781D">
        <w:trPr>
          <w:trHeight w:val="831"/>
        </w:trPr>
        <w:tc>
          <w:tcPr>
            <w:tcW w:w="4608" w:type="dxa"/>
          </w:tcPr>
          <w:p w14:paraId="76B78150" w14:textId="77777777" w:rsidR="0030664B" w:rsidRPr="00850622" w:rsidRDefault="0030664B" w:rsidP="00A72F01">
            <w:pPr>
              <w:jc w:val="both"/>
              <w:rPr>
                <w:b/>
                <w:i/>
                <w:sz w:val="24"/>
                <w:szCs w:val="24"/>
              </w:rPr>
            </w:pPr>
            <w:r w:rsidRPr="00850622">
              <w:rPr>
                <w:b/>
                <w:i/>
                <w:sz w:val="24"/>
                <w:szCs w:val="24"/>
              </w:rPr>
              <w:t>I3. Intervenții pentru tranziția verde și digitală în orașe</w:t>
            </w:r>
          </w:p>
          <w:p w14:paraId="78E8D278" w14:textId="73205C43" w:rsidR="0030664B" w:rsidRPr="00850622" w:rsidRDefault="00850622" w:rsidP="00090765">
            <w:pPr>
              <w:pStyle w:val="ListParagraph"/>
              <w:numPr>
                <w:ilvl w:val="0"/>
                <w:numId w:val="7"/>
              </w:numPr>
              <w:jc w:val="both"/>
              <w:rPr>
                <w:i/>
                <w:sz w:val="24"/>
                <w:szCs w:val="24"/>
                <w:lang w:val="ro-RO"/>
              </w:rPr>
            </w:pPr>
            <w:r>
              <w:rPr>
                <w:i/>
                <w:sz w:val="24"/>
                <w:szCs w:val="24"/>
                <w:lang w:val="ro-RO"/>
              </w:rPr>
              <w:t>Construire locuințe sociale/</w:t>
            </w:r>
            <w:r w:rsidR="00090765" w:rsidRPr="00850622">
              <w:rPr>
                <w:i/>
                <w:sz w:val="24"/>
                <w:szCs w:val="24"/>
                <w:lang w:val="ro-RO"/>
              </w:rPr>
              <w:t>locuințe de necesitate/ locuințe pentru tineri/ locuințe pentru specialiști din sănătate și învățământ</w:t>
            </w:r>
            <w:r w:rsidR="0030664B" w:rsidRPr="00850622">
              <w:rPr>
                <w:i/>
                <w:sz w:val="24"/>
                <w:szCs w:val="24"/>
                <w:lang w:val="ro-RO"/>
              </w:rPr>
              <w:t>;</w:t>
            </w:r>
          </w:p>
          <w:p w14:paraId="16DF41E7" w14:textId="2547E333" w:rsidR="0030664B" w:rsidRPr="00850622" w:rsidRDefault="00090765" w:rsidP="00090765">
            <w:pPr>
              <w:numPr>
                <w:ilvl w:val="0"/>
                <w:numId w:val="7"/>
              </w:numPr>
              <w:jc w:val="both"/>
              <w:rPr>
                <w:i/>
                <w:sz w:val="24"/>
                <w:szCs w:val="24"/>
              </w:rPr>
            </w:pPr>
            <w:r w:rsidRPr="00850622">
              <w:rPr>
                <w:i/>
                <w:sz w:val="24"/>
                <w:szCs w:val="24"/>
              </w:rPr>
              <w:t xml:space="preserve">Reabilitare moderată/modernizare/extindere/construire clădiri publice </w:t>
            </w:r>
            <w:proofErr w:type="spellStart"/>
            <w:r w:rsidRPr="00850622">
              <w:rPr>
                <w:i/>
                <w:sz w:val="24"/>
                <w:szCs w:val="24"/>
              </w:rPr>
              <w:t>nZEB</w:t>
            </w:r>
            <w:proofErr w:type="spellEnd"/>
            <w:r w:rsidR="0030664B" w:rsidRPr="00850622">
              <w:rPr>
                <w:i/>
                <w:sz w:val="24"/>
                <w:szCs w:val="24"/>
              </w:rPr>
              <w:t>;</w:t>
            </w:r>
          </w:p>
          <w:p w14:paraId="5DD0D002" w14:textId="495DF08D" w:rsidR="00090765" w:rsidRPr="00850622" w:rsidRDefault="00090765" w:rsidP="00090765">
            <w:pPr>
              <w:numPr>
                <w:ilvl w:val="0"/>
                <w:numId w:val="7"/>
              </w:numPr>
              <w:jc w:val="both"/>
              <w:rPr>
                <w:i/>
                <w:sz w:val="24"/>
                <w:szCs w:val="24"/>
              </w:rPr>
            </w:pPr>
            <w:r w:rsidRPr="00850622">
              <w:rPr>
                <w:i/>
                <w:sz w:val="24"/>
                <w:szCs w:val="24"/>
              </w:rPr>
              <w:t>Mobilitate urbană verde - achiziție autobuze și/sau microbuze curate (electric sau hidrogen), inclusiv stații de încărcare;</w:t>
            </w:r>
          </w:p>
          <w:p w14:paraId="4A93539A" w14:textId="1DFA417B" w:rsidR="0030664B" w:rsidRPr="00850622" w:rsidRDefault="00090765" w:rsidP="00090765">
            <w:pPr>
              <w:numPr>
                <w:ilvl w:val="0"/>
                <w:numId w:val="7"/>
              </w:numPr>
              <w:jc w:val="both"/>
              <w:rPr>
                <w:i/>
                <w:sz w:val="24"/>
                <w:szCs w:val="24"/>
              </w:rPr>
            </w:pPr>
            <w:r w:rsidRPr="00850622">
              <w:rPr>
                <w:i/>
                <w:sz w:val="24"/>
                <w:szCs w:val="24"/>
              </w:rPr>
              <w:t>Mobilitate urbană verde - sisteme de transport inteligente și alte infrastructuri TIC</w:t>
            </w:r>
            <w:r w:rsidR="0030664B" w:rsidRPr="00850622">
              <w:rPr>
                <w:i/>
                <w:sz w:val="24"/>
                <w:szCs w:val="24"/>
              </w:rPr>
              <w:t>;</w:t>
            </w:r>
          </w:p>
          <w:p w14:paraId="10FB17EF" w14:textId="487639A8" w:rsidR="0030664B" w:rsidRPr="00850622" w:rsidRDefault="00090765" w:rsidP="00D14FF3">
            <w:pPr>
              <w:numPr>
                <w:ilvl w:val="0"/>
                <w:numId w:val="7"/>
              </w:numPr>
              <w:jc w:val="both"/>
              <w:rPr>
                <w:i/>
                <w:sz w:val="24"/>
                <w:szCs w:val="24"/>
              </w:rPr>
            </w:pPr>
            <w:r w:rsidRPr="00850622">
              <w:rPr>
                <w:i/>
                <w:sz w:val="24"/>
                <w:szCs w:val="24"/>
              </w:rPr>
              <w:t>Mobilitate urbană verde - infrastructuri alternative de încărcare a vehiculelor electrice stații de încărc</w:t>
            </w:r>
            <w:r w:rsidR="00850622">
              <w:rPr>
                <w:i/>
                <w:sz w:val="24"/>
                <w:szCs w:val="24"/>
              </w:rPr>
              <w:t>are pentru vehiculele electrice</w:t>
            </w:r>
            <w:r w:rsidR="0030664B" w:rsidRPr="00850622">
              <w:rPr>
                <w:i/>
                <w:sz w:val="24"/>
                <w:szCs w:val="24"/>
              </w:rPr>
              <w:t>;</w:t>
            </w:r>
          </w:p>
          <w:p w14:paraId="0BD1EF43" w14:textId="7A8EBECA" w:rsidR="0030664B" w:rsidRPr="00850622" w:rsidRDefault="00090765" w:rsidP="00090765">
            <w:pPr>
              <w:numPr>
                <w:ilvl w:val="0"/>
                <w:numId w:val="7"/>
              </w:numPr>
              <w:jc w:val="both"/>
              <w:rPr>
                <w:i/>
                <w:sz w:val="24"/>
                <w:szCs w:val="24"/>
              </w:rPr>
            </w:pPr>
            <w:r w:rsidRPr="00850622">
              <w:rPr>
                <w:i/>
                <w:sz w:val="24"/>
                <w:szCs w:val="24"/>
              </w:rPr>
              <w:t>Mobilitate urbană verde - asigurarea infrastructurii pentru biciclete și alte vehicule electrice ușoare</w:t>
            </w:r>
            <w:r w:rsidR="00850622">
              <w:rPr>
                <w:i/>
                <w:sz w:val="24"/>
                <w:szCs w:val="24"/>
              </w:rPr>
              <w:t>.</w:t>
            </w:r>
          </w:p>
        </w:tc>
        <w:tc>
          <w:tcPr>
            <w:tcW w:w="4320" w:type="dxa"/>
          </w:tcPr>
          <w:p w14:paraId="0FD4A31A" w14:textId="77777777" w:rsidR="0030664B" w:rsidRPr="00850622" w:rsidRDefault="0030664B" w:rsidP="001D5D63">
            <w:pPr>
              <w:jc w:val="both"/>
              <w:rPr>
                <w:b/>
                <w:sz w:val="24"/>
                <w:szCs w:val="24"/>
                <w:u w:val="single"/>
              </w:rPr>
            </w:pPr>
          </w:p>
        </w:tc>
        <w:tc>
          <w:tcPr>
            <w:tcW w:w="5130" w:type="dxa"/>
          </w:tcPr>
          <w:p w14:paraId="6B81D40A" w14:textId="77777777" w:rsidR="0030664B" w:rsidRPr="00850622" w:rsidRDefault="0030664B" w:rsidP="00417C1D">
            <w:pPr>
              <w:spacing w:after="200" w:line="276" w:lineRule="auto"/>
              <w:rPr>
                <w:sz w:val="24"/>
                <w:szCs w:val="24"/>
              </w:rPr>
            </w:pPr>
            <w:r w:rsidRPr="00850622">
              <w:rPr>
                <w:sz w:val="24"/>
                <w:szCs w:val="24"/>
              </w:rPr>
              <w:t>Operațiunile finanțate prin intermediul acestei priorități vor viza:</w:t>
            </w:r>
          </w:p>
          <w:p w14:paraId="6EB07B4A" w14:textId="2828A9B4" w:rsidR="0030664B" w:rsidRPr="00850622" w:rsidRDefault="0030664B" w:rsidP="00FD2CDF">
            <w:pPr>
              <w:numPr>
                <w:ilvl w:val="0"/>
                <w:numId w:val="9"/>
              </w:numPr>
              <w:spacing w:after="200" w:line="276" w:lineRule="auto"/>
              <w:contextualSpacing/>
              <w:jc w:val="both"/>
              <w:rPr>
                <w:sz w:val="24"/>
                <w:szCs w:val="24"/>
              </w:rPr>
            </w:pPr>
            <w:r w:rsidRPr="00850622">
              <w:rPr>
                <w:sz w:val="24"/>
                <w:szCs w:val="24"/>
              </w:rPr>
              <w:t>achiziția de trenuri metropolitane (material rulant)</w:t>
            </w:r>
            <w:r w:rsidR="00850622">
              <w:rPr>
                <w:sz w:val="24"/>
                <w:szCs w:val="24"/>
              </w:rPr>
              <w:t>;</w:t>
            </w:r>
          </w:p>
          <w:p w14:paraId="0376C93C" w14:textId="77777777" w:rsidR="0030664B" w:rsidRPr="00850622" w:rsidRDefault="0030664B" w:rsidP="00FD2CDF">
            <w:pPr>
              <w:numPr>
                <w:ilvl w:val="0"/>
                <w:numId w:val="9"/>
              </w:numPr>
              <w:spacing w:after="200" w:line="276" w:lineRule="auto"/>
              <w:contextualSpacing/>
              <w:jc w:val="both"/>
              <w:rPr>
                <w:sz w:val="24"/>
                <w:szCs w:val="24"/>
              </w:rPr>
            </w:pPr>
            <w:r w:rsidRPr="00850622">
              <w:rPr>
                <w:sz w:val="24"/>
                <w:szCs w:val="24"/>
              </w:rPr>
              <w:t>construcția/modernizarea/optimizarea infrastructurii necesare</w:t>
            </w:r>
          </w:p>
          <w:p w14:paraId="7F12C64E" w14:textId="1382023E" w:rsidR="0030664B" w:rsidRPr="00850622" w:rsidRDefault="0030664B" w:rsidP="00FD2CDF">
            <w:pPr>
              <w:numPr>
                <w:ilvl w:val="0"/>
                <w:numId w:val="9"/>
              </w:numPr>
              <w:spacing w:after="200" w:line="276" w:lineRule="auto"/>
              <w:contextualSpacing/>
              <w:jc w:val="both"/>
              <w:rPr>
                <w:sz w:val="24"/>
                <w:szCs w:val="24"/>
              </w:rPr>
            </w:pPr>
            <w:r w:rsidRPr="00850622">
              <w:rPr>
                <w:sz w:val="24"/>
                <w:szCs w:val="24"/>
              </w:rPr>
              <w:t>asigurarea legăturii feroviare cu aeroportul c</w:t>
            </w:r>
            <w:r w:rsidR="00850622">
              <w:rPr>
                <w:sz w:val="24"/>
                <w:szCs w:val="24"/>
              </w:rPr>
              <w:t>e deservește zona metropolitană;</w:t>
            </w:r>
          </w:p>
          <w:p w14:paraId="0E4E916E" w14:textId="7D9CBB4B" w:rsidR="0030664B" w:rsidRPr="00850622" w:rsidRDefault="0030664B" w:rsidP="00FD2CDF">
            <w:pPr>
              <w:numPr>
                <w:ilvl w:val="0"/>
                <w:numId w:val="9"/>
              </w:numPr>
              <w:spacing w:after="200" w:line="276" w:lineRule="auto"/>
              <w:contextualSpacing/>
              <w:jc w:val="both"/>
              <w:rPr>
                <w:sz w:val="24"/>
                <w:szCs w:val="24"/>
              </w:rPr>
            </w:pPr>
            <w:r w:rsidRPr="00850622">
              <w:rPr>
                <w:sz w:val="24"/>
                <w:szCs w:val="24"/>
              </w:rPr>
              <w:t xml:space="preserve">optimizarea mersului trenurilor – graficului de călătorii, sistemele de </w:t>
            </w:r>
            <w:proofErr w:type="spellStart"/>
            <w:r w:rsidRPr="00850622">
              <w:rPr>
                <w:sz w:val="24"/>
                <w:szCs w:val="24"/>
              </w:rPr>
              <w:t>ticketing</w:t>
            </w:r>
            <w:proofErr w:type="spellEnd"/>
            <w:r w:rsidRPr="00850622">
              <w:rPr>
                <w:sz w:val="24"/>
                <w:szCs w:val="24"/>
              </w:rPr>
              <w:t xml:space="preserve"> (inclusiv integrare cu alte moduri de transport), măsuri de creștere a accesibilității persoanelor cu deficiențe de deplasare și alte măsuri similare</w:t>
            </w:r>
            <w:r w:rsidR="00850622">
              <w:rPr>
                <w:sz w:val="24"/>
                <w:szCs w:val="24"/>
              </w:rPr>
              <w:t>.</w:t>
            </w:r>
          </w:p>
          <w:p w14:paraId="772DDC6F" w14:textId="77777777" w:rsidR="0030664B" w:rsidRPr="00850622" w:rsidRDefault="0030664B" w:rsidP="00417C1D">
            <w:pPr>
              <w:spacing w:after="200" w:line="276" w:lineRule="auto"/>
              <w:jc w:val="both"/>
              <w:rPr>
                <w:rFonts w:eastAsia="Times New Roman" w:cs="Times New Roman"/>
                <w:b/>
                <w:i/>
                <w:sz w:val="24"/>
                <w:szCs w:val="24"/>
              </w:rPr>
            </w:pPr>
            <w:r w:rsidRPr="00850622">
              <w:rPr>
                <w:rFonts w:eastAsia="Times New Roman" w:cs="Times New Roman"/>
                <w:b/>
                <w:i/>
                <w:sz w:val="24"/>
                <w:szCs w:val="24"/>
              </w:rPr>
              <w:t>Beneficiar(i):</w:t>
            </w:r>
          </w:p>
          <w:p w14:paraId="356E865C" w14:textId="77777777" w:rsidR="0030664B" w:rsidRPr="00850622" w:rsidRDefault="0030664B" w:rsidP="00FD2CDF">
            <w:pPr>
              <w:spacing w:after="200" w:line="276" w:lineRule="auto"/>
              <w:jc w:val="both"/>
              <w:rPr>
                <w:sz w:val="24"/>
                <w:szCs w:val="24"/>
              </w:rPr>
            </w:pPr>
            <w:r w:rsidRPr="00850622">
              <w:rPr>
                <w:rFonts w:eastAsia="Times New Roman"/>
                <w:i/>
                <w:sz w:val="24"/>
                <w:szCs w:val="24"/>
              </w:rPr>
              <w:t>Parteneriate între Autoritățile Publice Locale (inclusiv asocieri ale acestora) și Compania Națională Căile Ferate Române-C.N.C.F.R. și/sau ARF</w:t>
            </w:r>
          </w:p>
          <w:p w14:paraId="6C2550F5" w14:textId="77777777" w:rsidR="0030664B" w:rsidRPr="00850622" w:rsidRDefault="0030664B" w:rsidP="00417C1D">
            <w:pPr>
              <w:spacing w:after="200" w:line="276" w:lineRule="auto"/>
              <w:rPr>
                <w:sz w:val="24"/>
                <w:szCs w:val="24"/>
              </w:rPr>
            </w:pPr>
            <w:r w:rsidRPr="00850622">
              <w:rPr>
                <w:b/>
                <w:sz w:val="24"/>
                <w:szCs w:val="24"/>
              </w:rPr>
              <w:t>MINISTERUL TRANSPORTURILOR ȘI INFRASTRUCTURII</w:t>
            </w:r>
          </w:p>
          <w:p w14:paraId="6E9FC987" w14:textId="77777777" w:rsidR="0030664B" w:rsidRPr="00850622" w:rsidRDefault="0030664B" w:rsidP="0047768B">
            <w:pPr>
              <w:rPr>
                <w:rFonts w:ascii="Trebuchet MS" w:hAnsi="Trebuchet MS"/>
                <w:sz w:val="20"/>
                <w:szCs w:val="20"/>
              </w:rPr>
            </w:pPr>
          </w:p>
        </w:tc>
        <w:tc>
          <w:tcPr>
            <w:tcW w:w="3960" w:type="dxa"/>
          </w:tcPr>
          <w:p w14:paraId="03032A12" w14:textId="77777777" w:rsidR="0030664B" w:rsidRPr="00850622" w:rsidRDefault="0030664B" w:rsidP="005A58CC">
            <w:pPr>
              <w:rPr>
                <w:b/>
                <w:sz w:val="24"/>
                <w:szCs w:val="24"/>
                <w:u w:val="single"/>
              </w:rPr>
            </w:pPr>
          </w:p>
        </w:tc>
        <w:tc>
          <w:tcPr>
            <w:tcW w:w="3960" w:type="dxa"/>
          </w:tcPr>
          <w:p w14:paraId="2B71A8EA" w14:textId="77777777" w:rsidR="0030664B" w:rsidRPr="00850622" w:rsidRDefault="0030664B" w:rsidP="005A58CC">
            <w:pPr>
              <w:rPr>
                <w:b/>
                <w:sz w:val="24"/>
                <w:szCs w:val="24"/>
                <w:u w:val="single"/>
              </w:rPr>
            </w:pPr>
          </w:p>
        </w:tc>
      </w:tr>
      <w:tr w:rsidR="0030664B" w:rsidRPr="00850622" w14:paraId="357AB71C" w14:textId="77777777" w:rsidTr="0048781D">
        <w:trPr>
          <w:trHeight w:val="831"/>
        </w:trPr>
        <w:tc>
          <w:tcPr>
            <w:tcW w:w="4608" w:type="dxa"/>
          </w:tcPr>
          <w:p w14:paraId="756579B4" w14:textId="77777777" w:rsidR="0030664B" w:rsidRPr="00850622" w:rsidRDefault="0030664B" w:rsidP="00A72F01">
            <w:pPr>
              <w:jc w:val="both"/>
              <w:rPr>
                <w:b/>
                <w:i/>
                <w:sz w:val="24"/>
                <w:szCs w:val="24"/>
              </w:rPr>
            </w:pPr>
            <w:r w:rsidRPr="00850622">
              <w:rPr>
                <w:sz w:val="24"/>
                <w:szCs w:val="24"/>
              </w:rPr>
              <w:t xml:space="preserve">I.4. </w:t>
            </w:r>
            <w:r w:rsidRPr="00850622">
              <w:rPr>
                <w:b/>
                <w:i/>
                <w:sz w:val="24"/>
                <w:szCs w:val="24"/>
              </w:rPr>
              <w:t>. Intervenții pentru creșterea calității vieții în mediul rural</w:t>
            </w:r>
          </w:p>
          <w:p w14:paraId="50FADE68" w14:textId="3097EAC3" w:rsidR="0030664B" w:rsidRPr="00850622" w:rsidRDefault="001651B8" w:rsidP="001651B8">
            <w:pPr>
              <w:pStyle w:val="ListParagraph"/>
              <w:numPr>
                <w:ilvl w:val="0"/>
                <w:numId w:val="7"/>
              </w:numPr>
              <w:jc w:val="both"/>
              <w:rPr>
                <w:sz w:val="24"/>
                <w:szCs w:val="24"/>
                <w:lang w:val="ro-RO"/>
              </w:rPr>
            </w:pPr>
            <w:r w:rsidRPr="00850622">
              <w:rPr>
                <w:sz w:val="24"/>
                <w:szCs w:val="24"/>
                <w:lang w:val="ro-RO"/>
              </w:rPr>
              <w:t>Construire locuințe pentru specialiști în educație și sănătate – inclusiv case pasive</w:t>
            </w:r>
            <w:r w:rsidR="0030664B" w:rsidRPr="00850622">
              <w:rPr>
                <w:sz w:val="24"/>
                <w:szCs w:val="24"/>
                <w:lang w:val="ro-RO"/>
              </w:rPr>
              <w:t>;</w:t>
            </w:r>
          </w:p>
          <w:p w14:paraId="75E89942" w14:textId="52E4B501" w:rsidR="001651B8" w:rsidRPr="00850622" w:rsidRDefault="001651B8" w:rsidP="001651B8">
            <w:pPr>
              <w:pStyle w:val="ListParagraph"/>
              <w:numPr>
                <w:ilvl w:val="0"/>
                <w:numId w:val="7"/>
              </w:numPr>
              <w:jc w:val="both"/>
              <w:rPr>
                <w:sz w:val="24"/>
                <w:szCs w:val="24"/>
                <w:lang w:val="ro-RO"/>
              </w:rPr>
            </w:pPr>
            <w:r w:rsidRPr="00850622">
              <w:rPr>
                <w:sz w:val="24"/>
                <w:szCs w:val="24"/>
                <w:lang w:val="ro-RO"/>
              </w:rPr>
              <w:t xml:space="preserve">Reabilitare moderată/ modernizare/ extindere/ construire clădiri publice </w:t>
            </w:r>
            <w:proofErr w:type="spellStart"/>
            <w:r w:rsidRPr="00850622">
              <w:rPr>
                <w:sz w:val="24"/>
                <w:szCs w:val="24"/>
                <w:lang w:val="ro-RO"/>
              </w:rPr>
              <w:t>nZEB</w:t>
            </w:r>
            <w:proofErr w:type="spellEnd"/>
            <w:r w:rsidRPr="00850622">
              <w:rPr>
                <w:sz w:val="24"/>
                <w:szCs w:val="24"/>
                <w:lang w:val="ro-RO"/>
              </w:rPr>
              <w:t>;</w:t>
            </w:r>
          </w:p>
          <w:p w14:paraId="2B00CACB" w14:textId="439C4F6B" w:rsidR="001651B8" w:rsidRPr="00850622" w:rsidRDefault="001651B8" w:rsidP="001651B8">
            <w:pPr>
              <w:pStyle w:val="ListParagraph"/>
              <w:numPr>
                <w:ilvl w:val="0"/>
                <w:numId w:val="7"/>
              </w:numPr>
              <w:jc w:val="both"/>
              <w:rPr>
                <w:sz w:val="24"/>
                <w:szCs w:val="24"/>
                <w:lang w:val="ro-RO"/>
              </w:rPr>
            </w:pPr>
            <w:r w:rsidRPr="00850622">
              <w:rPr>
                <w:sz w:val="24"/>
                <w:szCs w:val="24"/>
                <w:lang w:val="ro-RO"/>
              </w:rPr>
              <w:t>Achiziția de microbuze curate (electrice/hidrogen),  pentru scopuri comunitare;</w:t>
            </w:r>
          </w:p>
          <w:p w14:paraId="5E9F84DA" w14:textId="0C7BDC42" w:rsidR="001651B8" w:rsidRPr="00850622" w:rsidRDefault="001651B8" w:rsidP="001651B8">
            <w:pPr>
              <w:pStyle w:val="ListParagraph"/>
              <w:numPr>
                <w:ilvl w:val="0"/>
                <w:numId w:val="7"/>
              </w:numPr>
              <w:jc w:val="both"/>
              <w:rPr>
                <w:sz w:val="24"/>
                <w:szCs w:val="24"/>
                <w:lang w:val="ro-RO"/>
              </w:rPr>
            </w:pPr>
            <w:r w:rsidRPr="00850622">
              <w:rPr>
                <w:sz w:val="24"/>
                <w:szCs w:val="24"/>
                <w:lang w:val="ro-RO"/>
              </w:rPr>
              <w:t>Sisteme de transport inteligente și alte infrastructuri TIC;</w:t>
            </w:r>
          </w:p>
          <w:p w14:paraId="06BD76B8" w14:textId="03A87E5F" w:rsidR="001651B8" w:rsidRPr="00850622" w:rsidRDefault="001651B8" w:rsidP="001651B8">
            <w:pPr>
              <w:pStyle w:val="ListParagraph"/>
              <w:numPr>
                <w:ilvl w:val="0"/>
                <w:numId w:val="7"/>
              </w:numPr>
              <w:jc w:val="both"/>
              <w:rPr>
                <w:sz w:val="24"/>
                <w:szCs w:val="24"/>
                <w:lang w:val="ro-RO"/>
              </w:rPr>
            </w:pPr>
            <w:r w:rsidRPr="00850622">
              <w:rPr>
                <w:sz w:val="24"/>
                <w:szCs w:val="24"/>
                <w:lang w:val="ro-RO"/>
              </w:rPr>
              <w:lastRenderedPageBreak/>
              <w:t>Infrastructuri alternative de încărcare a vehiculelor electrice - stații de încărcare pentru vehiculele electrice;</w:t>
            </w:r>
          </w:p>
          <w:p w14:paraId="7A0BF6B4" w14:textId="4A05E266" w:rsidR="0030664B" w:rsidRPr="00850622" w:rsidRDefault="001651B8" w:rsidP="001651B8">
            <w:pPr>
              <w:pStyle w:val="ListParagraph"/>
              <w:numPr>
                <w:ilvl w:val="0"/>
                <w:numId w:val="7"/>
              </w:numPr>
              <w:jc w:val="both"/>
              <w:rPr>
                <w:sz w:val="24"/>
                <w:szCs w:val="24"/>
                <w:lang w:val="ro-RO"/>
              </w:rPr>
            </w:pPr>
            <w:r w:rsidRPr="00850622">
              <w:rPr>
                <w:sz w:val="24"/>
                <w:szCs w:val="24"/>
                <w:lang w:val="ro-RO"/>
              </w:rPr>
              <w:t>Realizare piste de biciclete și alte vehicule electrice ușoare.</w:t>
            </w:r>
          </w:p>
        </w:tc>
        <w:tc>
          <w:tcPr>
            <w:tcW w:w="4320" w:type="dxa"/>
          </w:tcPr>
          <w:p w14:paraId="38046083" w14:textId="77777777" w:rsidR="0030664B" w:rsidRPr="00850622" w:rsidRDefault="0030664B" w:rsidP="001D5D63">
            <w:pPr>
              <w:jc w:val="both"/>
              <w:rPr>
                <w:b/>
                <w:sz w:val="24"/>
                <w:szCs w:val="24"/>
                <w:u w:val="single"/>
              </w:rPr>
            </w:pPr>
          </w:p>
        </w:tc>
        <w:tc>
          <w:tcPr>
            <w:tcW w:w="5130" w:type="dxa"/>
          </w:tcPr>
          <w:p w14:paraId="1AF744A7" w14:textId="77777777" w:rsidR="0030664B" w:rsidRPr="00850622" w:rsidRDefault="0030664B" w:rsidP="00417C1D">
            <w:pPr>
              <w:rPr>
                <w:rFonts w:ascii="Trebuchet MS" w:hAnsi="Trebuchet MS"/>
                <w:sz w:val="20"/>
                <w:szCs w:val="20"/>
              </w:rPr>
            </w:pPr>
          </w:p>
        </w:tc>
        <w:tc>
          <w:tcPr>
            <w:tcW w:w="3960" w:type="dxa"/>
          </w:tcPr>
          <w:p w14:paraId="1B1183F3" w14:textId="77777777" w:rsidR="0030664B" w:rsidRPr="00850622" w:rsidRDefault="0030664B" w:rsidP="005A58CC">
            <w:pPr>
              <w:rPr>
                <w:b/>
                <w:sz w:val="24"/>
                <w:szCs w:val="24"/>
                <w:u w:val="single"/>
              </w:rPr>
            </w:pPr>
          </w:p>
        </w:tc>
        <w:tc>
          <w:tcPr>
            <w:tcW w:w="3960" w:type="dxa"/>
          </w:tcPr>
          <w:p w14:paraId="09FFCD7C" w14:textId="77777777" w:rsidR="0030664B" w:rsidRPr="00850622" w:rsidRDefault="0030664B" w:rsidP="005A58CC">
            <w:pPr>
              <w:rPr>
                <w:b/>
                <w:sz w:val="24"/>
                <w:szCs w:val="24"/>
                <w:u w:val="single"/>
              </w:rPr>
            </w:pPr>
          </w:p>
        </w:tc>
      </w:tr>
      <w:tr w:rsidR="0030664B" w:rsidRPr="00850622" w14:paraId="315B769F" w14:textId="77777777" w:rsidTr="0048781D">
        <w:trPr>
          <w:trHeight w:val="831"/>
        </w:trPr>
        <w:tc>
          <w:tcPr>
            <w:tcW w:w="4608" w:type="dxa"/>
          </w:tcPr>
          <w:p w14:paraId="3FCF7554" w14:textId="2D5E702C" w:rsidR="0030664B" w:rsidRPr="00850622" w:rsidRDefault="0030664B" w:rsidP="00A72F01">
            <w:pPr>
              <w:jc w:val="both"/>
              <w:rPr>
                <w:sz w:val="24"/>
                <w:szCs w:val="24"/>
              </w:rPr>
            </w:pPr>
            <w:r w:rsidRPr="00850622">
              <w:rPr>
                <w:sz w:val="24"/>
                <w:szCs w:val="24"/>
              </w:rPr>
              <w:t xml:space="preserve">I5. </w:t>
            </w:r>
            <w:r w:rsidR="001C5745" w:rsidRPr="00850622">
              <w:rPr>
                <w:sz w:val="24"/>
                <w:szCs w:val="24"/>
              </w:rPr>
              <w:t>Elaborarea/actualizarea în format digital a documentațiilor de amenajarea teritoriului și de urbanism de tip Plan de Amenajarea Teritoriului Județean/ Plan de Amenajare a Teritoriului Zonal Metropolitan/ Plan Urbanistic General/ Plan Urbanistic Zonal/ a Planurilor de Mobilitate Urbană Durabilă</w:t>
            </w:r>
          </w:p>
        </w:tc>
        <w:tc>
          <w:tcPr>
            <w:tcW w:w="4320" w:type="dxa"/>
          </w:tcPr>
          <w:p w14:paraId="14D4EE49" w14:textId="435469A4" w:rsidR="0030664B" w:rsidRPr="00850622" w:rsidRDefault="00EE4C2A" w:rsidP="00EE4C2A">
            <w:pPr>
              <w:jc w:val="both"/>
              <w:rPr>
                <w:b/>
                <w:sz w:val="24"/>
                <w:szCs w:val="24"/>
                <w:u w:val="single"/>
              </w:rPr>
            </w:pPr>
            <w:r w:rsidRPr="00850622">
              <w:rPr>
                <w:b/>
                <w:sz w:val="24"/>
                <w:szCs w:val="24"/>
                <w:u w:val="single"/>
              </w:rPr>
              <w:t xml:space="preserve">Acțiunea </w:t>
            </w:r>
            <w:r w:rsidR="00850622">
              <w:rPr>
                <w:b/>
                <w:sz w:val="24"/>
                <w:szCs w:val="24"/>
                <w:u w:val="single"/>
              </w:rPr>
              <w:t>aferentă</w:t>
            </w:r>
            <w:r w:rsidRPr="00850622">
              <w:rPr>
                <w:b/>
                <w:sz w:val="24"/>
                <w:szCs w:val="24"/>
                <w:u w:val="single"/>
              </w:rPr>
              <w:t xml:space="preserve"> </w:t>
            </w:r>
            <w:r w:rsidR="00850622">
              <w:rPr>
                <w:b/>
                <w:sz w:val="24"/>
                <w:szCs w:val="24"/>
                <w:u w:val="single"/>
              </w:rPr>
              <w:t>s</w:t>
            </w:r>
            <w:r w:rsidRPr="00850622">
              <w:rPr>
                <w:b/>
                <w:sz w:val="24"/>
                <w:szCs w:val="24"/>
                <w:u w:val="single"/>
              </w:rPr>
              <w:t>prijin</w:t>
            </w:r>
            <w:r w:rsidR="00850622">
              <w:rPr>
                <w:b/>
                <w:sz w:val="24"/>
                <w:szCs w:val="24"/>
                <w:u w:val="single"/>
              </w:rPr>
              <w:t>ului</w:t>
            </w:r>
            <w:r w:rsidRPr="00850622">
              <w:rPr>
                <w:b/>
                <w:sz w:val="24"/>
                <w:szCs w:val="24"/>
                <w:u w:val="single"/>
              </w:rPr>
              <w:t xml:space="preserve"> pentru transport urban sustenabil si durabil</w:t>
            </w:r>
          </w:p>
          <w:p w14:paraId="47C62708" w14:textId="77777777" w:rsidR="00EE4C2A" w:rsidRPr="00850622" w:rsidRDefault="00EE4C2A" w:rsidP="00EE4C2A">
            <w:pPr>
              <w:jc w:val="both"/>
              <w:rPr>
                <w:b/>
                <w:sz w:val="24"/>
                <w:szCs w:val="24"/>
                <w:u w:val="single"/>
              </w:rPr>
            </w:pPr>
          </w:p>
          <w:p w14:paraId="17D446CF" w14:textId="5709F609" w:rsidR="00EE4C2A" w:rsidRPr="00850622" w:rsidRDefault="00EE4C2A" w:rsidP="00EE4C2A">
            <w:pPr>
              <w:jc w:val="both"/>
              <w:rPr>
                <w:i/>
                <w:sz w:val="24"/>
                <w:szCs w:val="24"/>
              </w:rPr>
            </w:pPr>
            <w:r w:rsidRPr="00850622">
              <w:rPr>
                <w:i/>
                <w:sz w:val="24"/>
                <w:szCs w:val="24"/>
              </w:rPr>
              <w:t xml:space="preserve">Masuri de sprijin a </w:t>
            </w:r>
            <w:r w:rsidR="00850622" w:rsidRPr="00850622">
              <w:rPr>
                <w:i/>
                <w:sz w:val="24"/>
                <w:szCs w:val="24"/>
              </w:rPr>
              <w:t>autorităților</w:t>
            </w:r>
            <w:r w:rsidRPr="00850622">
              <w:rPr>
                <w:i/>
                <w:sz w:val="24"/>
                <w:szCs w:val="24"/>
              </w:rPr>
              <w:t xml:space="preserve"> si </w:t>
            </w:r>
            <w:r w:rsidR="00850622" w:rsidRPr="00850622">
              <w:rPr>
                <w:i/>
                <w:sz w:val="24"/>
                <w:szCs w:val="24"/>
              </w:rPr>
              <w:t>instituțiilor</w:t>
            </w:r>
            <w:r w:rsidRPr="00850622">
              <w:rPr>
                <w:i/>
                <w:sz w:val="24"/>
                <w:szCs w:val="24"/>
              </w:rPr>
              <w:t xml:space="preserve"> publice in </w:t>
            </w:r>
            <w:r w:rsidRPr="00850622">
              <w:rPr>
                <w:b/>
                <w:i/>
                <w:sz w:val="24"/>
                <w:szCs w:val="24"/>
              </w:rPr>
              <w:t>elaborarea/actualizarea PMUD</w:t>
            </w:r>
            <w:r w:rsidRPr="00850622">
              <w:rPr>
                <w:i/>
                <w:sz w:val="24"/>
                <w:szCs w:val="24"/>
              </w:rPr>
              <w:t xml:space="preserve">, in </w:t>
            </w:r>
            <w:r w:rsidR="00850622" w:rsidRPr="00850622">
              <w:rPr>
                <w:i/>
                <w:sz w:val="24"/>
                <w:szCs w:val="24"/>
              </w:rPr>
              <w:t>operaționalizarea</w:t>
            </w:r>
            <w:r w:rsidRPr="00850622">
              <w:rPr>
                <w:i/>
                <w:sz w:val="24"/>
                <w:szCs w:val="24"/>
              </w:rPr>
              <w:t xml:space="preserve"> contractelor de delegare a gestiunii serviciului de transport public de călători</w:t>
            </w:r>
          </w:p>
          <w:p w14:paraId="45AD3210" w14:textId="77777777" w:rsidR="00115AE9" w:rsidRPr="00850622" w:rsidRDefault="00115AE9" w:rsidP="00EE4C2A">
            <w:pPr>
              <w:jc w:val="both"/>
              <w:rPr>
                <w:i/>
                <w:sz w:val="24"/>
                <w:szCs w:val="24"/>
              </w:rPr>
            </w:pPr>
          </w:p>
          <w:p w14:paraId="206678DD" w14:textId="49BC4AC4" w:rsidR="00115AE9" w:rsidRPr="00850622" w:rsidRDefault="00850622" w:rsidP="00EE4C2A">
            <w:pPr>
              <w:jc w:val="both"/>
              <w:rPr>
                <w:i/>
                <w:sz w:val="24"/>
                <w:szCs w:val="24"/>
              </w:rPr>
            </w:pPr>
            <w:r>
              <w:rPr>
                <w:b/>
                <w:i/>
                <w:sz w:val="24"/>
                <w:szCs w:val="24"/>
              </w:rPr>
              <w:t>Grup țintă</w:t>
            </w:r>
            <w:r w:rsidR="00115AE9" w:rsidRPr="00850622">
              <w:rPr>
                <w:i/>
                <w:sz w:val="24"/>
                <w:szCs w:val="24"/>
              </w:rPr>
              <w:t xml:space="preserve"> - cetățenii din mediul urban si din localitățile din zona funcțională</w:t>
            </w:r>
          </w:p>
          <w:p w14:paraId="16378317" w14:textId="77777777" w:rsidR="00115AE9" w:rsidRPr="00850622" w:rsidRDefault="00115AE9" w:rsidP="00EE4C2A">
            <w:pPr>
              <w:jc w:val="both"/>
              <w:rPr>
                <w:i/>
                <w:sz w:val="24"/>
                <w:szCs w:val="24"/>
              </w:rPr>
            </w:pPr>
          </w:p>
        </w:tc>
        <w:tc>
          <w:tcPr>
            <w:tcW w:w="5130" w:type="dxa"/>
          </w:tcPr>
          <w:p w14:paraId="6AACC3CC" w14:textId="77777777" w:rsidR="0030664B" w:rsidRPr="00850622" w:rsidRDefault="0030664B" w:rsidP="005A58CC">
            <w:pPr>
              <w:rPr>
                <w:b/>
                <w:sz w:val="24"/>
                <w:szCs w:val="24"/>
                <w:u w:val="single"/>
              </w:rPr>
            </w:pPr>
            <w:r w:rsidRPr="00850622">
              <w:rPr>
                <w:b/>
                <w:sz w:val="24"/>
                <w:szCs w:val="24"/>
                <w:u w:val="single"/>
              </w:rPr>
              <w:t>N/A</w:t>
            </w:r>
          </w:p>
        </w:tc>
        <w:tc>
          <w:tcPr>
            <w:tcW w:w="3960" w:type="dxa"/>
          </w:tcPr>
          <w:p w14:paraId="00E05D07" w14:textId="77777777" w:rsidR="0030664B" w:rsidRPr="00850622" w:rsidRDefault="0030664B" w:rsidP="005A58CC">
            <w:pPr>
              <w:rPr>
                <w:b/>
                <w:sz w:val="24"/>
                <w:szCs w:val="24"/>
                <w:u w:val="single"/>
              </w:rPr>
            </w:pPr>
            <w:r w:rsidRPr="00850622">
              <w:rPr>
                <w:b/>
                <w:sz w:val="24"/>
                <w:szCs w:val="24"/>
                <w:u w:val="single"/>
              </w:rPr>
              <w:t>N/A</w:t>
            </w:r>
          </w:p>
        </w:tc>
        <w:tc>
          <w:tcPr>
            <w:tcW w:w="3960" w:type="dxa"/>
          </w:tcPr>
          <w:p w14:paraId="3A5D88F2" w14:textId="77777777" w:rsidR="0030664B" w:rsidRPr="00850622" w:rsidRDefault="00115AE9" w:rsidP="005A58CC">
            <w:pPr>
              <w:rPr>
                <w:b/>
                <w:sz w:val="24"/>
                <w:szCs w:val="24"/>
                <w:u w:val="single"/>
              </w:rPr>
            </w:pPr>
            <w:r w:rsidRPr="00850622">
              <w:rPr>
                <w:b/>
                <w:sz w:val="24"/>
                <w:szCs w:val="24"/>
                <w:u w:val="single"/>
              </w:rPr>
              <w:t>N/A</w:t>
            </w:r>
          </w:p>
        </w:tc>
      </w:tr>
      <w:tr w:rsidR="0030664B" w:rsidRPr="00850622" w14:paraId="4CA1D641" w14:textId="77777777" w:rsidTr="0048781D">
        <w:trPr>
          <w:trHeight w:val="831"/>
        </w:trPr>
        <w:tc>
          <w:tcPr>
            <w:tcW w:w="4608" w:type="dxa"/>
          </w:tcPr>
          <w:p w14:paraId="1CE27460" w14:textId="761EF06E" w:rsidR="0030664B" w:rsidRPr="00850622" w:rsidRDefault="0030664B" w:rsidP="00F632E7">
            <w:pPr>
              <w:jc w:val="both"/>
              <w:rPr>
                <w:b/>
                <w:i/>
                <w:sz w:val="24"/>
                <w:szCs w:val="24"/>
              </w:rPr>
            </w:pPr>
            <w:r w:rsidRPr="00850622">
              <w:rPr>
                <w:b/>
                <w:i/>
                <w:sz w:val="24"/>
                <w:szCs w:val="24"/>
              </w:rPr>
              <w:t xml:space="preserve">I6. </w:t>
            </w:r>
            <w:r w:rsidR="001C5745" w:rsidRPr="00850622">
              <w:rPr>
                <w:b/>
                <w:i/>
                <w:sz w:val="24"/>
                <w:szCs w:val="24"/>
              </w:rPr>
              <w:t>Intervenții pentru implementarea la nivel național a traseelor cicloturistice</w:t>
            </w:r>
          </w:p>
          <w:p w14:paraId="595C4187" w14:textId="77777777" w:rsidR="001C5745" w:rsidRPr="00850622" w:rsidRDefault="001C5745" w:rsidP="001C5745">
            <w:pPr>
              <w:numPr>
                <w:ilvl w:val="0"/>
                <w:numId w:val="7"/>
              </w:numPr>
              <w:jc w:val="both"/>
              <w:rPr>
                <w:i/>
                <w:sz w:val="24"/>
                <w:szCs w:val="24"/>
              </w:rPr>
            </w:pPr>
            <w:r w:rsidRPr="00850622">
              <w:rPr>
                <w:i/>
                <w:sz w:val="24"/>
                <w:szCs w:val="24"/>
              </w:rPr>
              <w:t xml:space="preserve">Crearea cadrului instituțional și legislativ; </w:t>
            </w:r>
          </w:p>
          <w:p w14:paraId="3FC41BD9" w14:textId="77777777" w:rsidR="001C5745" w:rsidRPr="00850622" w:rsidRDefault="001C5745" w:rsidP="001C5745">
            <w:pPr>
              <w:numPr>
                <w:ilvl w:val="0"/>
                <w:numId w:val="7"/>
              </w:numPr>
              <w:jc w:val="both"/>
              <w:rPr>
                <w:i/>
                <w:sz w:val="24"/>
                <w:szCs w:val="24"/>
              </w:rPr>
            </w:pPr>
            <w:r w:rsidRPr="00850622">
              <w:rPr>
                <w:i/>
                <w:sz w:val="24"/>
                <w:szCs w:val="24"/>
              </w:rPr>
              <w:t xml:space="preserve">Digitalizarea pistelor și traseelor </w:t>
            </w:r>
            <w:proofErr w:type="spellStart"/>
            <w:r w:rsidRPr="00850622">
              <w:rPr>
                <w:i/>
                <w:sz w:val="24"/>
                <w:szCs w:val="24"/>
              </w:rPr>
              <w:t>velo</w:t>
            </w:r>
            <w:proofErr w:type="spellEnd"/>
            <w:r w:rsidRPr="00850622">
              <w:rPr>
                <w:i/>
                <w:sz w:val="24"/>
                <w:szCs w:val="24"/>
              </w:rPr>
              <w:t xml:space="preserve">; </w:t>
            </w:r>
          </w:p>
          <w:p w14:paraId="43411A67" w14:textId="06C92AA8" w:rsidR="0030664B" w:rsidRPr="00850622" w:rsidRDefault="001C5745" w:rsidP="000E365E">
            <w:pPr>
              <w:numPr>
                <w:ilvl w:val="0"/>
                <w:numId w:val="7"/>
              </w:numPr>
              <w:jc w:val="both"/>
              <w:rPr>
                <w:i/>
                <w:sz w:val="24"/>
                <w:szCs w:val="24"/>
              </w:rPr>
            </w:pPr>
            <w:r w:rsidRPr="00850622">
              <w:rPr>
                <w:i/>
                <w:sz w:val="24"/>
                <w:szCs w:val="24"/>
              </w:rPr>
              <w:t xml:space="preserve">Realizarea a 3.000 km de piste pe trasee </w:t>
            </w:r>
            <w:proofErr w:type="spellStart"/>
            <w:r w:rsidRPr="00850622">
              <w:rPr>
                <w:i/>
                <w:sz w:val="24"/>
                <w:szCs w:val="24"/>
              </w:rPr>
              <w:t>velo</w:t>
            </w:r>
            <w:proofErr w:type="spellEnd"/>
            <w:r w:rsidRPr="00850622">
              <w:rPr>
                <w:i/>
                <w:sz w:val="24"/>
                <w:szCs w:val="24"/>
              </w:rPr>
              <w:t xml:space="preserve"> naționale, inclusiv traseele </w:t>
            </w:r>
            <w:proofErr w:type="spellStart"/>
            <w:r w:rsidRPr="00850622">
              <w:rPr>
                <w:i/>
                <w:sz w:val="24"/>
                <w:szCs w:val="24"/>
              </w:rPr>
              <w:t>EuroVelo</w:t>
            </w:r>
            <w:proofErr w:type="spellEnd"/>
            <w:r w:rsidRPr="00850622">
              <w:rPr>
                <w:i/>
                <w:sz w:val="24"/>
                <w:szCs w:val="24"/>
              </w:rPr>
              <w:t>.</w:t>
            </w:r>
          </w:p>
        </w:tc>
        <w:tc>
          <w:tcPr>
            <w:tcW w:w="4320" w:type="dxa"/>
          </w:tcPr>
          <w:p w14:paraId="339EC0E1" w14:textId="77777777" w:rsidR="0030664B" w:rsidRPr="00850622" w:rsidRDefault="0030664B" w:rsidP="001D5D63">
            <w:pPr>
              <w:jc w:val="both"/>
              <w:rPr>
                <w:b/>
                <w:sz w:val="24"/>
                <w:szCs w:val="24"/>
                <w:u w:val="single"/>
              </w:rPr>
            </w:pPr>
          </w:p>
        </w:tc>
        <w:tc>
          <w:tcPr>
            <w:tcW w:w="5130" w:type="dxa"/>
          </w:tcPr>
          <w:p w14:paraId="6C5A3AF2" w14:textId="77777777" w:rsidR="0030664B" w:rsidRPr="00850622" w:rsidRDefault="0030664B" w:rsidP="005A58CC">
            <w:pPr>
              <w:rPr>
                <w:b/>
                <w:sz w:val="24"/>
                <w:szCs w:val="24"/>
                <w:u w:val="single"/>
              </w:rPr>
            </w:pPr>
          </w:p>
        </w:tc>
        <w:tc>
          <w:tcPr>
            <w:tcW w:w="3960" w:type="dxa"/>
          </w:tcPr>
          <w:p w14:paraId="5C94537E" w14:textId="77777777" w:rsidR="0030664B" w:rsidRPr="00850622" w:rsidRDefault="0030664B" w:rsidP="005A58CC">
            <w:pPr>
              <w:rPr>
                <w:b/>
                <w:sz w:val="24"/>
                <w:szCs w:val="24"/>
                <w:u w:val="single"/>
              </w:rPr>
            </w:pPr>
          </w:p>
        </w:tc>
        <w:tc>
          <w:tcPr>
            <w:tcW w:w="3960" w:type="dxa"/>
          </w:tcPr>
          <w:p w14:paraId="4153F319" w14:textId="77777777" w:rsidR="0030664B" w:rsidRPr="00850622" w:rsidRDefault="0030664B" w:rsidP="005A58CC">
            <w:pPr>
              <w:rPr>
                <w:b/>
                <w:sz w:val="24"/>
                <w:szCs w:val="24"/>
                <w:u w:val="single"/>
              </w:rPr>
            </w:pPr>
          </w:p>
        </w:tc>
      </w:tr>
      <w:tr w:rsidR="0030664B" w:rsidRPr="00850622" w14:paraId="566F9E53" w14:textId="77777777" w:rsidTr="0048781D">
        <w:trPr>
          <w:trHeight w:val="831"/>
        </w:trPr>
        <w:tc>
          <w:tcPr>
            <w:tcW w:w="14058" w:type="dxa"/>
            <w:gridSpan w:val="3"/>
          </w:tcPr>
          <w:p w14:paraId="37C148B3" w14:textId="77777777" w:rsidR="00850622" w:rsidRDefault="0030664B" w:rsidP="003930E5">
            <w:pPr>
              <w:jc w:val="both"/>
              <w:rPr>
                <w:color w:val="FF0000"/>
                <w:sz w:val="24"/>
                <w:szCs w:val="24"/>
              </w:rPr>
            </w:pPr>
            <w:r w:rsidRPr="00850622">
              <w:rPr>
                <w:b/>
                <w:color w:val="FF0000"/>
                <w:sz w:val="24"/>
                <w:szCs w:val="24"/>
              </w:rPr>
              <w:t xml:space="preserve">PNRR </w:t>
            </w:r>
            <w:r w:rsidRPr="00850622">
              <w:rPr>
                <w:color w:val="FF0000"/>
                <w:sz w:val="24"/>
                <w:szCs w:val="24"/>
              </w:rPr>
              <w:t>–</w:t>
            </w:r>
            <w:r w:rsidRPr="00850622">
              <w:t xml:space="preserve"> </w:t>
            </w:r>
            <w:r w:rsidR="008E7B5A" w:rsidRPr="00850622">
              <w:rPr>
                <w:color w:val="FF0000"/>
              </w:rPr>
              <w:t xml:space="preserve">din punct de vedere al </w:t>
            </w:r>
            <w:r w:rsidR="001C5745" w:rsidRPr="00850622">
              <w:rPr>
                <w:color w:val="FF0000"/>
              </w:rPr>
              <w:t>mobilității</w:t>
            </w:r>
            <w:r w:rsidR="008E7B5A" w:rsidRPr="00850622">
              <w:rPr>
                <w:color w:val="FF0000"/>
              </w:rPr>
              <w:t xml:space="preserve"> </w:t>
            </w:r>
            <w:r w:rsidR="00B71503" w:rsidRPr="00850622">
              <w:rPr>
                <w:color w:val="FF0000"/>
              </w:rPr>
              <w:t>urbane se</w:t>
            </w:r>
            <w:r w:rsidR="0048781D" w:rsidRPr="00850622">
              <w:rPr>
                <w:color w:val="FF0000"/>
              </w:rPr>
              <w:t xml:space="preserve"> </w:t>
            </w:r>
            <w:r w:rsidR="00B71503" w:rsidRPr="00850622">
              <w:rPr>
                <w:color w:val="FF0000"/>
              </w:rPr>
              <w:t>vor</w:t>
            </w:r>
            <w:r w:rsidRPr="00850622">
              <w:rPr>
                <w:color w:val="FF0000"/>
              </w:rPr>
              <w:t xml:space="preserve"> finanța acțiuni cu privire la</w:t>
            </w:r>
            <w:r w:rsidRPr="00850622">
              <w:rPr>
                <w:color w:val="FF0000"/>
                <w:sz w:val="24"/>
                <w:szCs w:val="24"/>
              </w:rPr>
              <w:t xml:space="preserve"> </w:t>
            </w:r>
            <w:r w:rsidR="00850622" w:rsidRPr="00850622">
              <w:rPr>
                <w:color w:val="FF0000"/>
                <w:sz w:val="24"/>
                <w:szCs w:val="24"/>
              </w:rPr>
              <w:t>achiziții</w:t>
            </w:r>
            <w:r w:rsidRPr="00850622">
              <w:rPr>
                <w:color w:val="FF0000"/>
                <w:sz w:val="24"/>
                <w:szCs w:val="24"/>
              </w:rPr>
              <w:t xml:space="preserve"> material rulan</w:t>
            </w:r>
            <w:r w:rsidR="0048781D" w:rsidRPr="00850622">
              <w:rPr>
                <w:color w:val="FF0000"/>
                <w:sz w:val="24"/>
                <w:szCs w:val="24"/>
              </w:rPr>
              <w:t xml:space="preserve">t pentru trenuri metropolitane; </w:t>
            </w:r>
          </w:p>
          <w:p w14:paraId="5A25743F" w14:textId="7A3AAB0F" w:rsidR="00850622" w:rsidRDefault="0030664B" w:rsidP="003930E5">
            <w:pPr>
              <w:jc w:val="both"/>
              <w:rPr>
                <w:color w:val="FF0000"/>
                <w:sz w:val="24"/>
                <w:szCs w:val="24"/>
              </w:rPr>
            </w:pPr>
            <w:r w:rsidRPr="00850622">
              <w:rPr>
                <w:color w:val="FF0000"/>
                <w:sz w:val="24"/>
                <w:szCs w:val="24"/>
              </w:rPr>
              <w:t>Infrastructură pentru transportul public: realizarea de benzi dedicate pentru transportul public, sisteme de transport inteligente și alte sisteme inteligente de management urban – infrastructuri alternative de încărcare a vehiculelor electrice, sisteme inovative de mobilitate urbană - mobilitate conectată și automată, crearea/extinderea/modernizarea sistemelor de bilete integrate pentru călători -</w:t>
            </w:r>
            <w:r w:rsidR="00B71503" w:rsidRPr="00850622">
              <w:rPr>
                <w:color w:val="FF0000"/>
                <w:sz w:val="24"/>
                <w:szCs w:val="24"/>
              </w:rPr>
              <w:t xml:space="preserve"> „e-bilete” sau „e-</w:t>
            </w:r>
            <w:proofErr w:type="spellStart"/>
            <w:r w:rsidR="00B71503" w:rsidRPr="00850622">
              <w:rPr>
                <w:color w:val="FF0000"/>
                <w:sz w:val="24"/>
                <w:szCs w:val="24"/>
              </w:rPr>
              <w:t>ticketing</w:t>
            </w:r>
            <w:proofErr w:type="spellEnd"/>
            <w:r w:rsidR="00B71503" w:rsidRPr="00850622">
              <w:rPr>
                <w:color w:val="FF0000"/>
                <w:sz w:val="24"/>
                <w:szCs w:val="24"/>
              </w:rPr>
              <w:t xml:space="preserve">”); </w:t>
            </w:r>
          </w:p>
          <w:p w14:paraId="77A56316" w14:textId="578D132C" w:rsidR="0030664B" w:rsidRPr="00850622" w:rsidRDefault="0030664B" w:rsidP="003930E5">
            <w:pPr>
              <w:jc w:val="both"/>
              <w:rPr>
                <w:color w:val="FF0000"/>
                <w:sz w:val="24"/>
                <w:szCs w:val="24"/>
              </w:rPr>
            </w:pPr>
            <w:r w:rsidRPr="00850622">
              <w:rPr>
                <w:color w:val="FF0000"/>
                <w:sz w:val="24"/>
                <w:szCs w:val="24"/>
              </w:rPr>
              <w:t>Schimbarea parcului de vehicule destinate transportului public - achiziția de material rulant: tramvaie, troleibuze, autobuze nepoluante, ce utilizează combustibili alternativi, inclusiv autobuze electrice; stații de încărcare pentru autobuzele electrice; modernizarea/reabilitarea depourilor/autobazelor, crearea de benzi dedicate pentru transportul public;</w:t>
            </w:r>
          </w:p>
          <w:p w14:paraId="1ED73D47" w14:textId="77777777" w:rsidR="0030664B" w:rsidRPr="00850622" w:rsidRDefault="0030664B" w:rsidP="003930E5">
            <w:pPr>
              <w:jc w:val="both"/>
              <w:rPr>
                <w:color w:val="FF0000"/>
                <w:sz w:val="24"/>
                <w:szCs w:val="24"/>
              </w:rPr>
            </w:pPr>
            <w:r w:rsidRPr="00850622">
              <w:rPr>
                <w:color w:val="FF0000"/>
                <w:sz w:val="24"/>
                <w:szCs w:val="24"/>
              </w:rPr>
              <w:t>-Infrastructură pentru biciclete și alte vehicule electrice ușoare: realizarea/modernizarea de tipuri de infrastructură pentru biciclete/mijloace de transport nemotor</w:t>
            </w:r>
            <w:r w:rsidR="0048781D" w:rsidRPr="00850622">
              <w:rPr>
                <w:color w:val="FF0000"/>
                <w:sz w:val="24"/>
                <w:szCs w:val="24"/>
              </w:rPr>
              <w:t>izate, inclusiv pasaje, poduri.</w:t>
            </w:r>
          </w:p>
          <w:p w14:paraId="4256910E" w14:textId="0D0EC463" w:rsidR="001C3D87" w:rsidRDefault="001C3D87" w:rsidP="003930E5">
            <w:pPr>
              <w:jc w:val="both"/>
              <w:rPr>
                <w:color w:val="FF0000"/>
                <w:sz w:val="24"/>
                <w:szCs w:val="24"/>
              </w:rPr>
            </w:pPr>
            <w:r w:rsidRPr="00850622">
              <w:rPr>
                <w:color w:val="FF0000"/>
                <w:sz w:val="24"/>
                <w:szCs w:val="24"/>
              </w:rPr>
              <w:t>Toate intervențiile menționate anterior</w:t>
            </w:r>
            <w:r w:rsidR="00EE4C2A" w:rsidRPr="00850622">
              <w:rPr>
                <w:color w:val="FF0000"/>
                <w:sz w:val="24"/>
                <w:szCs w:val="24"/>
              </w:rPr>
              <w:t xml:space="preserve"> se</w:t>
            </w:r>
            <w:r w:rsidRPr="00850622">
              <w:rPr>
                <w:color w:val="FF0000"/>
                <w:sz w:val="24"/>
                <w:szCs w:val="24"/>
              </w:rPr>
              <w:t xml:space="preserve"> vor </w:t>
            </w:r>
            <w:r w:rsidR="00EE4C2A" w:rsidRPr="00850622">
              <w:rPr>
                <w:color w:val="FF0000"/>
                <w:sz w:val="24"/>
                <w:szCs w:val="24"/>
              </w:rPr>
              <w:t xml:space="preserve">articula, </w:t>
            </w:r>
            <w:r w:rsidRPr="00850622">
              <w:rPr>
                <w:color w:val="FF0000"/>
                <w:sz w:val="24"/>
                <w:szCs w:val="24"/>
              </w:rPr>
              <w:t>asigur</w:t>
            </w:r>
            <w:r w:rsidR="00EE4C2A" w:rsidRPr="00850622">
              <w:rPr>
                <w:color w:val="FF0000"/>
                <w:sz w:val="24"/>
                <w:szCs w:val="24"/>
              </w:rPr>
              <w:t>ând</w:t>
            </w:r>
            <w:r w:rsidRPr="00850622">
              <w:rPr>
                <w:color w:val="FF0000"/>
                <w:sz w:val="24"/>
                <w:szCs w:val="24"/>
              </w:rPr>
              <w:t xml:space="preserve"> complementaritatea la nivel </w:t>
            </w:r>
            <w:r w:rsidR="00850622" w:rsidRPr="00850622">
              <w:rPr>
                <w:color w:val="FF0000"/>
                <w:sz w:val="24"/>
                <w:szCs w:val="24"/>
              </w:rPr>
              <w:t>național</w:t>
            </w:r>
            <w:r w:rsidRPr="00850622">
              <w:rPr>
                <w:color w:val="FF0000"/>
                <w:sz w:val="24"/>
                <w:szCs w:val="24"/>
              </w:rPr>
              <w:t>/regional/local în faza de implementare a proiectelor.</w:t>
            </w:r>
          </w:p>
          <w:p w14:paraId="0A90B6C7" w14:textId="77777777" w:rsidR="00850622" w:rsidRPr="00850622" w:rsidRDefault="00850622" w:rsidP="003930E5">
            <w:pPr>
              <w:jc w:val="both"/>
              <w:rPr>
                <w:color w:val="FF0000"/>
                <w:sz w:val="24"/>
                <w:szCs w:val="24"/>
              </w:rPr>
            </w:pPr>
          </w:p>
          <w:p w14:paraId="0E078BC6" w14:textId="59559B3D" w:rsidR="0030664B" w:rsidRPr="00850622" w:rsidRDefault="0030664B" w:rsidP="00B71503">
            <w:pPr>
              <w:jc w:val="both"/>
              <w:rPr>
                <w:color w:val="FF0000"/>
                <w:sz w:val="24"/>
                <w:szCs w:val="24"/>
              </w:rPr>
            </w:pPr>
            <w:r w:rsidRPr="00850622">
              <w:rPr>
                <w:b/>
                <w:color w:val="FF0000"/>
                <w:sz w:val="24"/>
                <w:szCs w:val="24"/>
              </w:rPr>
              <w:t>POR-uri</w:t>
            </w:r>
            <w:r w:rsidRPr="00850622">
              <w:rPr>
                <w:color w:val="FF0000"/>
                <w:sz w:val="24"/>
                <w:szCs w:val="24"/>
              </w:rPr>
              <w:t xml:space="preserve"> </w:t>
            </w:r>
            <w:r w:rsidR="00B71503" w:rsidRPr="00850622">
              <w:rPr>
                <w:color w:val="FF0000"/>
                <w:sz w:val="24"/>
                <w:szCs w:val="24"/>
              </w:rPr>
              <w:t>–</w:t>
            </w:r>
            <w:r w:rsidRPr="00850622">
              <w:rPr>
                <w:color w:val="FF0000"/>
                <w:sz w:val="24"/>
                <w:szCs w:val="24"/>
              </w:rPr>
              <w:t xml:space="preserve"> </w:t>
            </w:r>
            <w:r w:rsidR="00B71503" w:rsidRPr="00850622">
              <w:rPr>
                <w:color w:val="FF0000"/>
                <w:sz w:val="24"/>
                <w:szCs w:val="24"/>
              </w:rPr>
              <w:t xml:space="preserve">Demarcarea intervențiilor aferente </w:t>
            </w:r>
            <w:r w:rsidR="00850622" w:rsidRPr="00850622">
              <w:rPr>
                <w:color w:val="FF0000"/>
                <w:sz w:val="24"/>
                <w:szCs w:val="24"/>
              </w:rPr>
              <w:t>mobilității</w:t>
            </w:r>
            <w:r w:rsidR="00B71503" w:rsidRPr="00850622">
              <w:rPr>
                <w:color w:val="FF0000"/>
                <w:sz w:val="24"/>
                <w:szCs w:val="24"/>
              </w:rPr>
              <w:t xml:space="preserve"> urbane intre</w:t>
            </w:r>
            <w:r w:rsidR="00850622">
              <w:rPr>
                <w:color w:val="FF0000"/>
                <w:sz w:val="24"/>
                <w:szCs w:val="24"/>
              </w:rPr>
              <w:t xml:space="preserve"> POR-uri și PNRR se va realiza î</w:t>
            </w:r>
            <w:r w:rsidR="00B71503" w:rsidRPr="00850622">
              <w:rPr>
                <w:color w:val="FF0000"/>
                <w:sz w:val="24"/>
                <w:szCs w:val="24"/>
              </w:rPr>
              <w:t xml:space="preserve">ntr-un mod comprehensiv și clar articulat pe partea de implementare.(de ex. la nivelul ghidului </w:t>
            </w:r>
            <w:r w:rsidR="00850622" w:rsidRPr="00850622">
              <w:rPr>
                <w:color w:val="FF0000"/>
                <w:sz w:val="24"/>
                <w:szCs w:val="24"/>
              </w:rPr>
              <w:t>solicitanților</w:t>
            </w:r>
            <w:r w:rsidR="00B71503" w:rsidRPr="00850622">
              <w:rPr>
                <w:color w:val="FF0000"/>
                <w:sz w:val="24"/>
                <w:szCs w:val="24"/>
              </w:rPr>
              <w:t>)</w:t>
            </w:r>
          </w:p>
          <w:p w14:paraId="5289DB8F" w14:textId="77777777" w:rsidR="008A479C" w:rsidRPr="00850622" w:rsidRDefault="008A479C" w:rsidP="00B71503">
            <w:pPr>
              <w:jc w:val="both"/>
              <w:rPr>
                <w:color w:val="FF0000"/>
                <w:sz w:val="24"/>
                <w:szCs w:val="24"/>
              </w:rPr>
            </w:pPr>
          </w:p>
          <w:p w14:paraId="0DB8D25F" w14:textId="77777777" w:rsidR="00EE4C2A" w:rsidRPr="00850622" w:rsidRDefault="00EE4C2A" w:rsidP="00B71503">
            <w:pPr>
              <w:jc w:val="both"/>
              <w:rPr>
                <w:color w:val="FF0000"/>
                <w:sz w:val="24"/>
                <w:szCs w:val="24"/>
              </w:rPr>
            </w:pPr>
            <w:r w:rsidRPr="00850622">
              <w:rPr>
                <w:color w:val="FF0000"/>
                <w:sz w:val="24"/>
                <w:szCs w:val="24"/>
              </w:rPr>
              <w:t xml:space="preserve">De asemenea, POR finanțează piste pentru bicicliști intervenții aparent similare cu PNRR. Totuși PNRR se adresează în special realizării unor rute turistice: </w:t>
            </w:r>
            <w:proofErr w:type="spellStart"/>
            <w:r w:rsidRPr="00850622">
              <w:rPr>
                <w:color w:val="FF0000"/>
                <w:sz w:val="24"/>
                <w:szCs w:val="24"/>
              </w:rPr>
              <w:t>EuroVelo</w:t>
            </w:r>
            <w:proofErr w:type="spellEnd"/>
            <w:r w:rsidRPr="00850622">
              <w:rPr>
                <w:color w:val="FF0000"/>
                <w:sz w:val="24"/>
                <w:szCs w:val="24"/>
              </w:rPr>
              <w:t xml:space="preserve"> 6, Via </w:t>
            </w:r>
            <w:proofErr w:type="spellStart"/>
            <w:r w:rsidRPr="00850622">
              <w:rPr>
                <w:color w:val="FF0000"/>
                <w:sz w:val="24"/>
                <w:szCs w:val="24"/>
              </w:rPr>
              <w:t>Transilvanica</w:t>
            </w:r>
            <w:proofErr w:type="spellEnd"/>
            <w:r w:rsidRPr="00850622">
              <w:rPr>
                <w:color w:val="FF0000"/>
                <w:sz w:val="24"/>
                <w:szCs w:val="24"/>
              </w:rPr>
              <w:t xml:space="preserve"> și altor trasee similar</w:t>
            </w:r>
            <w:r w:rsidR="008A479C" w:rsidRPr="00850622">
              <w:rPr>
                <w:color w:val="FF0000"/>
                <w:sz w:val="24"/>
                <w:szCs w:val="24"/>
              </w:rPr>
              <w:t>e</w:t>
            </w:r>
            <w:r w:rsidRPr="00850622">
              <w:rPr>
                <w:color w:val="FF0000"/>
                <w:sz w:val="24"/>
                <w:szCs w:val="24"/>
              </w:rPr>
              <w:t>.</w:t>
            </w:r>
          </w:p>
          <w:p w14:paraId="066B3CB0" w14:textId="77777777" w:rsidR="001C3D87" w:rsidRPr="00850622" w:rsidRDefault="001C3D87" w:rsidP="0047768B">
            <w:pPr>
              <w:rPr>
                <w:b/>
                <w:color w:val="FF0000"/>
                <w:sz w:val="24"/>
                <w:szCs w:val="24"/>
              </w:rPr>
            </w:pPr>
          </w:p>
          <w:p w14:paraId="5B03EBED" w14:textId="65A53320" w:rsidR="00A312CF" w:rsidRPr="00850622" w:rsidRDefault="0030664B" w:rsidP="0047768B">
            <w:pPr>
              <w:rPr>
                <w:color w:val="FF0000"/>
                <w:sz w:val="24"/>
                <w:szCs w:val="24"/>
              </w:rPr>
            </w:pPr>
            <w:r w:rsidRPr="00850622">
              <w:rPr>
                <w:b/>
                <w:color w:val="FF0000"/>
                <w:sz w:val="24"/>
                <w:szCs w:val="24"/>
              </w:rPr>
              <w:t xml:space="preserve">POT </w:t>
            </w:r>
            <w:r w:rsidR="00A312CF" w:rsidRPr="00850622">
              <w:rPr>
                <w:color w:val="FF0000"/>
                <w:sz w:val="24"/>
                <w:szCs w:val="24"/>
              </w:rPr>
              <w:t>–</w:t>
            </w:r>
            <w:r w:rsidRPr="00850622">
              <w:rPr>
                <w:color w:val="FF0000"/>
                <w:sz w:val="24"/>
                <w:szCs w:val="24"/>
              </w:rPr>
              <w:t xml:space="preserve"> </w:t>
            </w:r>
            <w:r w:rsidR="008A479C" w:rsidRPr="00850622">
              <w:rPr>
                <w:color w:val="FF0000"/>
                <w:sz w:val="24"/>
                <w:szCs w:val="24"/>
              </w:rPr>
              <w:t>Avâ</w:t>
            </w:r>
            <w:r w:rsidR="00A312CF" w:rsidRPr="00850622">
              <w:rPr>
                <w:color w:val="FF0000"/>
                <w:sz w:val="24"/>
                <w:szCs w:val="24"/>
              </w:rPr>
              <w:t xml:space="preserve">nd in vedere necesitatea </w:t>
            </w:r>
            <w:r w:rsidR="00850622" w:rsidRPr="00850622">
              <w:rPr>
                <w:color w:val="FF0000"/>
                <w:sz w:val="24"/>
                <w:szCs w:val="24"/>
              </w:rPr>
              <w:t>finanțării</w:t>
            </w:r>
            <w:r w:rsidR="00A312CF" w:rsidRPr="00850622">
              <w:rPr>
                <w:color w:val="FF0000"/>
                <w:sz w:val="24"/>
                <w:szCs w:val="24"/>
              </w:rPr>
              <w:t xml:space="preserve"> a mai multor </w:t>
            </w:r>
            <w:r w:rsidR="00850622" w:rsidRPr="00850622">
              <w:rPr>
                <w:b/>
                <w:color w:val="FF0000"/>
                <w:sz w:val="24"/>
                <w:szCs w:val="24"/>
              </w:rPr>
              <w:t>intervenții</w:t>
            </w:r>
            <w:r w:rsidR="00A312CF" w:rsidRPr="00850622">
              <w:rPr>
                <w:b/>
                <w:color w:val="FF0000"/>
                <w:sz w:val="24"/>
                <w:szCs w:val="24"/>
              </w:rPr>
              <w:t xml:space="preserve"> privind materialul rulant</w:t>
            </w:r>
            <w:r w:rsidR="00A312CF" w:rsidRPr="00850622">
              <w:rPr>
                <w:color w:val="FF0000"/>
                <w:sz w:val="24"/>
                <w:szCs w:val="24"/>
              </w:rPr>
              <w:t xml:space="preserve"> , care este finanțat din ambele instrumente, demarcarea se va realiza pe durata implementării.</w:t>
            </w:r>
          </w:p>
          <w:p w14:paraId="407EC195" w14:textId="77777777" w:rsidR="0030664B" w:rsidRPr="00850622" w:rsidRDefault="00A312CF" w:rsidP="0047768B">
            <w:pPr>
              <w:rPr>
                <w:color w:val="FF0000"/>
                <w:sz w:val="24"/>
                <w:szCs w:val="24"/>
              </w:rPr>
            </w:pPr>
            <w:r w:rsidRPr="00850622">
              <w:rPr>
                <w:color w:val="FF0000"/>
                <w:sz w:val="24"/>
                <w:szCs w:val="24"/>
              </w:rPr>
              <w:t xml:space="preserve"> În ceea ce privește </w:t>
            </w:r>
            <w:r w:rsidRPr="00850622">
              <w:rPr>
                <w:b/>
                <w:color w:val="FF0000"/>
                <w:sz w:val="24"/>
                <w:szCs w:val="24"/>
              </w:rPr>
              <w:t>trenurile metropolitane</w:t>
            </w:r>
            <w:r w:rsidRPr="00850622">
              <w:rPr>
                <w:color w:val="FF0000"/>
                <w:sz w:val="24"/>
                <w:szCs w:val="24"/>
              </w:rPr>
              <w:t xml:space="preserve">, complementaritatea investițiilor este realizata, prin PNRR finanțându-se doar achiziționarea de material rulant pentru călătoriile urbane și </w:t>
            </w:r>
            <w:proofErr w:type="spellStart"/>
            <w:r w:rsidRPr="00850622">
              <w:rPr>
                <w:color w:val="FF0000"/>
                <w:sz w:val="24"/>
                <w:szCs w:val="24"/>
              </w:rPr>
              <w:t>periurbane</w:t>
            </w:r>
            <w:proofErr w:type="spellEnd"/>
            <w:r w:rsidRPr="00850622">
              <w:rPr>
                <w:color w:val="FF0000"/>
                <w:sz w:val="24"/>
                <w:szCs w:val="24"/>
              </w:rPr>
              <w:t>.</w:t>
            </w:r>
            <w:r w:rsidR="00EA1A4D" w:rsidRPr="00850622">
              <w:rPr>
                <w:color w:val="FF0000"/>
                <w:sz w:val="24"/>
                <w:szCs w:val="24"/>
              </w:rPr>
              <w:t xml:space="preserve"> </w:t>
            </w:r>
          </w:p>
          <w:p w14:paraId="59D54CD7" w14:textId="77777777" w:rsidR="001C3D87" w:rsidRPr="00850622" w:rsidRDefault="001C3D87" w:rsidP="006509ED">
            <w:pPr>
              <w:jc w:val="both"/>
              <w:rPr>
                <w:b/>
                <w:color w:val="FF0000"/>
                <w:sz w:val="24"/>
                <w:szCs w:val="24"/>
              </w:rPr>
            </w:pPr>
          </w:p>
          <w:p w14:paraId="66F1BA88" w14:textId="6E56E4E3" w:rsidR="0030664B" w:rsidRPr="00850622" w:rsidRDefault="0030664B" w:rsidP="006509ED">
            <w:pPr>
              <w:jc w:val="both"/>
              <w:rPr>
                <w:color w:val="FF0000"/>
                <w:sz w:val="24"/>
                <w:szCs w:val="24"/>
              </w:rPr>
            </w:pPr>
            <w:r w:rsidRPr="00850622">
              <w:rPr>
                <w:b/>
                <w:color w:val="FF0000"/>
                <w:sz w:val="24"/>
                <w:szCs w:val="24"/>
              </w:rPr>
              <w:lastRenderedPageBreak/>
              <w:t xml:space="preserve">POTJ </w:t>
            </w:r>
            <w:r w:rsidRPr="00850622">
              <w:rPr>
                <w:color w:val="FF0000"/>
                <w:sz w:val="24"/>
                <w:szCs w:val="24"/>
              </w:rPr>
              <w:t xml:space="preserve">– </w:t>
            </w:r>
            <w:r w:rsidR="008A479C" w:rsidRPr="00850622">
              <w:rPr>
                <w:color w:val="FF0000"/>
                <w:sz w:val="24"/>
                <w:szCs w:val="24"/>
              </w:rPr>
              <w:t xml:space="preserve">Referitor </w:t>
            </w:r>
            <w:r w:rsidR="006509ED" w:rsidRPr="00850622">
              <w:rPr>
                <w:color w:val="FF0000"/>
                <w:sz w:val="24"/>
                <w:szCs w:val="24"/>
              </w:rPr>
              <w:t xml:space="preserve">la investițiile pentru </w:t>
            </w:r>
            <w:r w:rsidR="006509ED" w:rsidRPr="00850622">
              <w:rPr>
                <w:b/>
                <w:color w:val="FF0000"/>
                <w:sz w:val="24"/>
                <w:szCs w:val="24"/>
              </w:rPr>
              <w:t>transportul urban inteligent și sustenabil</w:t>
            </w:r>
            <w:r w:rsidR="006509ED" w:rsidRPr="00850622">
              <w:rPr>
                <w:color w:val="FF0000"/>
                <w:sz w:val="24"/>
                <w:szCs w:val="24"/>
              </w:rPr>
              <w:t xml:space="preserve"> și infrastructura aferentă, </w:t>
            </w:r>
            <w:r w:rsidR="006509ED" w:rsidRPr="00850622">
              <w:rPr>
                <w:b/>
                <w:color w:val="FF0000"/>
                <w:sz w:val="24"/>
                <w:szCs w:val="24"/>
              </w:rPr>
              <w:t xml:space="preserve">există un </w:t>
            </w:r>
            <w:r w:rsidR="00850622" w:rsidRPr="00850622">
              <w:rPr>
                <w:b/>
                <w:color w:val="FF0000"/>
                <w:sz w:val="24"/>
                <w:szCs w:val="24"/>
              </w:rPr>
              <w:t>potențial</w:t>
            </w:r>
            <w:r w:rsidR="006509ED" w:rsidRPr="00850622">
              <w:rPr>
                <w:b/>
                <w:color w:val="FF0000"/>
                <w:sz w:val="24"/>
                <w:szCs w:val="24"/>
              </w:rPr>
              <w:t xml:space="preserve"> risc de suprapunere</w:t>
            </w:r>
            <w:r w:rsidR="006509ED" w:rsidRPr="00850622">
              <w:rPr>
                <w:color w:val="FF0000"/>
                <w:sz w:val="24"/>
                <w:szCs w:val="24"/>
              </w:rPr>
              <w:t xml:space="preserve"> care poate fi evitat prin identificarea clară a portofoliilor de proiecte finanțate din fiecare program. Planurile de mobilitate propun nevoi de investiții ridicate care doar cumulativ pot fi satisfăcute. Subliniem faptul că POTJ va avea in vedere doar intervențiile în areal identificat prin PTTJ în cele 6 județe.   </w:t>
            </w:r>
          </w:p>
          <w:p w14:paraId="628DD8DB" w14:textId="77777777" w:rsidR="001C3D87" w:rsidRPr="00850622" w:rsidRDefault="001C3D87" w:rsidP="006F5FF2">
            <w:pPr>
              <w:rPr>
                <w:b/>
                <w:color w:val="FF0000"/>
                <w:sz w:val="24"/>
                <w:szCs w:val="24"/>
              </w:rPr>
            </w:pPr>
          </w:p>
          <w:p w14:paraId="76C54783" w14:textId="7CF085A4" w:rsidR="006F5FF2" w:rsidRPr="00850622" w:rsidRDefault="006F5FF2" w:rsidP="006F5FF2">
            <w:pPr>
              <w:rPr>
                <w:b/>
                <w:sz w:val="24"/>
                <w:szCs w:val="24"/>
                <w:u w:val="single"/>
              </w:rPr>
            </w:pPr>
            <w:r w:rsidRPr="00850622">
              <w:rPr>
                <w:b/>
                <w:color w:val="FF0000"/>
                <w:sz w:val="24"/>
                <w:szCs w:val="24"/>
              </w:rPr>
              <w:t xml:space="preserve">POIDS </w:t>
            </w:r>
            <w:r w:rsidRPr="00850622">
              <w:rPr>
                <w:color w:val="FF0000"/>
                <w:sz w:val="24"/>
                <w:szCs w:val="24"/>
              </w:rPr>
              <w:t xml:space="preserve">- </w:t>
            </w:r>
            <w:r w:rsidR="00850622" w:rsidRPr="00850622">
              <w:rPr>
                <w:color w:val="FF0000"/>
                <w:sz w:val="24"/>
                <w:szCs w:val="24"/>
              </w:rPr>
              <w:t>Având</w:t>
            </w:r>
            <w:r w:rsidRPr="00850622">
              <w:rPr>
                <w:color w:val="FF0000"/>
                <w:sz w:val="24"/>
                <w:szCs w:val="24"/>
              </w:rPr>
              <w:t xml:space="preserve"> in vedere necesitatea extrem de ridicata de asigurare a </w:t>
            </w:r>
            <w:r w:rsidR="00850622" w:rsidRPr="00850622">
              <w:rPr>
                <w:color w:val="FF0000"/>
                <w:sz w:val="24"/>
                <w:szCs w:val="24"/>
              </w:rPr>
              <w:t>locuințelor</w:t>
            </w:r>
            <w:r w:rsidRPr="00850622">
              <w:rPr>
                <w:color w:val="FF0000"/>
                <w:sz w:val="24"/>
                <w:szCs w:val="24"/>
              </w:rPr>
              <w:t xml:space="preserve"> sociale pentru </w:t>
            </w:r>
            <w:r w:rsidR="00850622" w:rsidRPr="00850622">
              <w:rPr>
                <w:color w:val="FF0000"/>
                <w:sz w:val="24"/>
                <w:szCs w:val="24"/>
              </w:rPr>
              <w:t>populația</w:t>
            </w:r>
            <w:r w:rsidRPr="00850622">
              <w:rPr>
                <w:color w:val="FF0000"/>
                <w:sz w:val="24"/>
                <w:szCs w:val="24"/>
              </w:rPr>
              <w:t xml:space="preserve"> in risc de </w:t>
            </w:r>
            <w:r w:rsidR="00850622" w:rsidRPr="00850622">
              <w:rPr>
                <w:color w:val="FF0000"/>
                <w:sz w:val="24"/>
                <w:szCs w:val="24"/>
              </w:rPr>
              <w:t>sărăcie</w:t>
            </w:r>
            <w:r w:rsidRPr="00850622">
              <w:rPr>
                <w:color w:val="FF0000"/>
                <w:sz w:val="24"/>
                <w:szCs w:val="24"/>
              </w:rPr>
              <w:t xml:space="preserve"> se va asigura complementaritatea </w:t>
            </w:r>
            <w:r w:rsidR="00850622" w:rsidRPr="00850622">
              <w:rPr>
                <w:color w:val="FF0000"/>
                <w:sz w:val="24"/>
                <w:szCs w:val="24"/>
              </w:rPr>
              <w:t>intervențiilor</w:t>
            </w:r>
            <w:r w:rsidRPr="00850622">
              <w:rPr>
                <w:color w:val="FF0000"/>
                <w:sz w:val="24"/>
                <w:szCs w:val="24"/>
              </w:rPr>
              <w:t xml:space="preserve"> dintre POIDS si PNRR la nivelul</w:t>
            </w:r>
            <w:r w:rsidR="00D74A88" w:rsidRPr="00850622">
              <w:rPr>
                <w:color w:val="FF0000"/>
                <w:sz w:val="24"/>
                <w:szCs w:val="24"/>
              </w:rPr>
              <w:t xml:space="preserve"> </w:t>
            </w:r>
            <w:r w:rsidR="00850622" w:rsidRPr="00850622">
              <w:rPr>
                <w:color w:val="FF0000"/>
                <w:sz w:val="24"/>
                <w:szCs w:val="24"/>
              </w:rPr>
              <w:t>implementării</w:t>
            </w:r>
            <w:r w:rsidR="00D74A88" w:rsidRPr="00850622">
              <w:rPr>
                <w:color w:val="FF0000"/>
                <w:sz w:val="24"/>
                <w:szCs w:val="24"/>
              </w:rPr>
              <w:t xml:space="preserve"> programelor.</w:t>
            </w:r>
          </w:p>
        </w:tc>
        <w:tc>
          <w:tcPr>
            <w:tcW w:w="3960" w:type="dxa"/>
          </w:tcPr>
          <w:p w14:paraId="09555365" w14:textId="77777777" w:rsidR="0030664B" w:rsidRPr="00850622" w:rsidRDefault="0030664B" w:rsidP="0047768B">
            <w:pPr>
              <w:rPr>
                <w:color w:val="FF0000"/>
                <w:sz w:val="24"/>
                <w:szCs w:val="24"/>
              </w:rPr>
            </w:pPr>
          </w:p>
        </w:tc>
        <w:tc>
          <w:tcPr>
            <w:tcW w:w="3960" w:type="dxa"/>
          </w:tcPr>
          <w:p w14:paraId="296D0543" w14:textId="77777777" w:rsidR="0030664B" w:rsidRPr="00850622" w:rsidRDefault="0030664B" w:rsidP="0047768B">
            <w:pPr>
              <w:rPr>
                <w:color w:val="FF0000"/>
                <w:sz w:val="24"/>
                <w:szCs w:val="24"/>
              </w:rPr>
            </w:pPr>
          </w:p>
        </w:tc>
      </w:tr>
    </w:tbl>
    <w:p w14:paraId="1319BED5" w14:textId="77777777" w:rsidR="007B739F" w:rsidRPr="00850622" w:rsidRDefault="007B739F" w:rsidP="00AF2C55">
      <w:pPr>
        <w:rPr>
          <w:b/>
          <w:sz w:val="24"/>
          <w:szCs w:val="24"/>
          <w:highlight w:val="yellow"/>
        </w:rPr>
      </w:pPr>
    </w:p>
    <w:p w14:paraId="5DBA9B56" w14:textId="77777777" w:rsidR="001958BB" w:rsidRPr="00850622" w:rsidRDefault="001958BB" w:rsidP="00AF2C55">
      <w:pPr>
        <w:rPr>
          <w:sz w:val="24"/>
          <w:szCs w:val="24"/>
          <w:highlight w:val="yellow"/>
        </w:rPr>
      </w:pPr>
    </w:p>
    <w:p w14:paraId="5AE627A7" w14:textId="77777777" w:rsidR="0024504E" w:rsidRPr="00850622" w:rsidRDefault="0024504E" w:rsidP="00AF2C55">
      <w:pPr>
        <w:rPr>
          <w:sz w:val="24"/>
          <w:szCs w:val="24"/>
          <w:highlight w:val="yellow"/>
        </w:rPr>
      </w:pPr>
    </w:p>
    <w:p w14:paraId="4A8C23B5" w14:textId="77777777" w:rsidR="0024504E" w:rsidRPr="00850622" w:rsidRDefault="0024504E" w:rsidP="00AF2C55">
      <w:pPr>
        <w:rPr>
          <w:sz w:val="24"/>
          <w:szCs w:val="24"/>
          <w:highlight w:val="yellow"/>
        </w:rPr>
      </w:pPr>
    </w:p>
    <w:p w14:paraId="7D42C21F" w14:textId="77777777" w:rsidR="0024504E" w:rsidRPr="00850622" w:rsidRDefault="0024504E" w:rsidP="00AF2C55">
      <w:pPr>
        <w:rPr>
          <w:sz w:val="24"/>
          <w:szCs w:val="24"/>
          <w:highlight w:val="yellow"/>
        </w:rPr>
      </w:pPr>
    </w:p>
    <w:p w14:paraId="051E2AA2" w14:textId="77777777" w:rsidR="0024504E" w:rsidRPr="00850622" w:rsidRDefault="0024504E" w:rsidP="00AF2C55">
      <w:pPr>
        <w:rPr>
          <w:sz w:val="24"/>
          <w:szCs w:val="24"/>
          <w:highlight w:val="yellow"/>
        </w:rPr>
      </w:pPr>
    </w:p>
    <w:sectPr w:rsidR="0024504E" w:rsidRPr="00850622" w:rsidSect="00AA511A">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3EFB" w14:textId="77777777" w:rsidR="00827BA0" w:rsidRDefault="00827BA0" w:rsidP="00EE30B5">
      <w:pPr>
        <w:spacing w:after="0" w:line="240" w:lineRule="auto"/>
      </w:pPr>
      <w:r>
        <w:separator/>
      </w:r>
    </w:p>
  </w:endnote>
  <w:endnote w:type="continuationSeparator" w:id="0">
    <w:p w14:paraId="45F5427A" w14:textId="77777777" w:rsidR="00827BA0" w:rsidRDefault="00827BA0" w:rsidP="00EE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1"/>
    <w:family w:val="auto"/>
    <w:pitch w:val="variable"/>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AB26" w14:textId="77777777" w:rsidR="00827BA0" w:rsidRDefault="00827BA0" w:rsidP="00EE30B5">
      <w:pPr>
        <w:spacing w:after="0" w:line="240" w:lineRule="auto"/>
      </w:pPr>
      <w:r>
        <w:separator/>
      </w:r>
    </w:p>
  </w:footnote>
  <w:footnote w:type="continuationSeparator" w:id="0">
    <w:p w14:paraId="2E46F258" w14:textId="77777777" w:rsidR="00827BA0" w:rsidRDefault="00827BA0" w:rsidP="00EE3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535"/>
    <w:multiLevelType w:val="multilevel"/>
    <w:tmpl w:val="CD2C909A"/>
    <w:lvl w:ilvl="0">
      <w:start w:val="1"/>
      <w:numFmt w:val="bullet"/>
      <w:lvlText w:val=""/>
      <w:lvlJc w:val="left"/>
      <w:pPr>
        <w:tabs>
          <w:tab w:val="num" w:pos="807"/>
        </w:tabs>
        <w:ind w:left="807" w:hanging="360"/>
      </w:pPr>
      <w:rPr>
        <w:rFonts w:ascii="Symbol" w:hAnsi="Symbol" w:hint="default"/>
        <w:b/>
        <w:i w:val="0"/>
        <w:color w:val="4F81BD" w:themeColor="accent1"/>
        <w:sz w:val="20"/>
      </w:rPr>
    </w:lvl>
    <w:lvl w:ilvl="1">
      <w:start w:val="1"/>
      <w:numFmt w:val="bullet"/>
      <w:lvlText w:val="o"/>
      <w:lvlJc w:val="left"/>
      <w:pPr>
        <w:tabs>
          <w:tab w:val="num" w:pos="1527"/>
        </w:tabs>
        <w:ind w:left="1527" w:hanging="360"/>
      </w:pPr>
      <w:rPr>
        <w:rFonts w:ascii="Courier New" w:hAnsi="Courier New" w:hint="default"/>
        <w:sz w:val="20"/>
      </w:rPr>
    </w:lvl>
    <w:lvl w:ilvl="2">
      <w:start w:val="1"/>
      <w:numFmt w:val="bullet"/>
      <w:lvlText w:val=""/>
      <w:lvlJc w:val="left"/>
      <w:pPr>
        <w:tabs>
          <w:tab w:val="num" w:pos="2247"/>
        </w:tabs>
        <w:ind w:left="2247" w:hanging="360"/>
      </w:pPr>
      <w:rPr>
        <w:rFonts w:ascii="Wingdings" w:hAnsi="Wingdings" w:hint="default"/>
        <w:sz w:val="20"/>
      </w:rPr>
    </w:lvl>
    <w:lvl w:ilvl="3" w:tentative="1">
      <w:start w:val="1"/>
      <w:numFmt w:val="bullet"/>
      <w:lvlText w:val=""/>
      <w:lvlJc w:val="left"/>
      <w:pPr>
        <w:tabs>
          <w:tab w:val="num" w:pos="2967"/>
        </w:tabs>
        <w:ind w:left="2967" w:hanging="360"/>
      </w:pPr>
      <w:rPr>
        <w:rFonts w:ascii="Wingdings" w:hAnsi="Wingdings" w:hint="default"/>
        <w:sz w:val="20"/>
      </w:rPr>
    </w:lvl>
    <w:lvl w:ilvl="4" w:tentative="1">
      <w:start w:val="1"/>
      <w:numFmt w:val="bullet"/>
      <w:lvlText w:val=""/>
      <w:lvlJc w:val="left"/>
      <w:pPr>
        <w:tabs>
          <w:tab w:val="num" w:pos="3687"/>
        </w:tabs>
        <w:ind w:left="3687" w:hanging="360"/>
      </w:pPr>
      <w:rPr>
        <w:rFonts w:ascii="Wingdings" w:hAnsi="Wingdings" w:hint="default"/>
        <w:sz w:val="20"/>
      </w:rPr>
    </w:lvl>
    <w:lvl w:ilvl="5" w:tentative="1">
      <w:start w:val="1"/>
      <w:numFmt w:val="bullet"/>
      <w:lvlText w:val=""/>
      <w:lvlJc w:val="left"/>
      <w:pPr>
        <w:tabs>
          <w:tab w:val="num" w:pos="4407"/>
        </w:tabs>
        <w:ind w:left="4407" w:hanging="360"/>
      </w:pPr>
      <w:rPr>
        <w:rFonts w:ascii="Wingdings" w:hAnsi="Wingdings" w:hint="default"/>
        <w:sz w:val="20"/>
      </w:rPr>
    </w:lvl>
    <w:lvl w:ilvl="6" w:tentative="1">
      <w:start w:val="1"/>
      <w:numFmt w:val="bullet"/>
      <w:lvlText w:val=""/>
      <w:lvlJc w:val="left"/>
      <w:pPr>
        <w:tabs>
          <w:tab w:val="num" w:pos="5127"/>
        </w:tabs>
        <w:ind w:left="5127" w:hanging="360"/>
      </w:pPr>
      <w:rPr>
        <w:rFonts w:ascii="Wingdings" w:hAnsi="Wingdings" w:hint="default"/>
        <w:sz w:val="20"/>
      </w:rPr>
    </w:lvl>
    <w:lvl w:ilvl="7" w:tentative="1">
      <w:start w:val="1"/>
      <w:numFmt w:val="bullet"/>
      <w:lvlText w:val=""/>
      <w:lvlJc w:val="left"/>
      <w:pPr>
        <w:tabs>
          <w:tab w:val="num" w:pos="5847"/>
        </w:tabs>
        <w:ind w:left="5847" w:hanging="360"/>
      </w:pPr>
      <w:rPr>
        <w:rFonts w:ascii="Wingdings" w:hAnsi="Wingdings" w:hint="default"/>
        <w:sz w:val="20"/>
      </w:rPr>
    </w:lvl>
    <w:lvl w:ilvl="8" w:tentative="1">
      <w:start w:val="1"/>
      <w:numFmt w:val="bullet"/>
      <w:lvlText w:val=""/>
      <w:lvlJc w:val="left"/>
      <w:pPr>
        <w:tabs>
          <w:tab w:val="num" w:pos="6567"/>
        </w:tabs>
        <w:ind w:left="6567" w:hanging="360"/>
      </w:pPr>
      <w:rPr>
        <w:rFonts w:ascii="Wingdings" w:hAnsi="Wingdings" w:hint="default"/>
        <w:sz w:val="20"/>
      </w:rPr>
    </w:lvl>
  </w:abstractNum>
  <w:abstractNum w:abstractNumId="1" w15:restartNumberingAfterBreak="0">
    <w:nsid w:val="200631FF"/>
    <w:multiLevelType w:val="hybridMultilevel"/>
    <w:tmpl w:val="7D8CF5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5172E56"/>
    <w:multiLevelType w:val="multilevel"/>
    <w:tmpl w:val="A350B35C"/>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920D04"/>
    <w:multiLevelType w:val="hybridMultilevel"/>
    <w:tmpl w:val="013A56B8"/>
    <w:lvl w:ilvl="0" w:tplc="0FD855CC">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77D135B"/>
    <w:multiLevelType w:val="hybridMultilevel"/>
    <w:tmpl w:val="5B380AC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EF514E"/>
    <w:multiLevelType w:val="hybridMultilevel"/>
    <w:tmpl w:val="E8DC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A8D6732"/>
    <w:multiLevelType w:val="hybridMultilevel"/>
    <w:tmpl w:val="6FF696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AA62915"/>
    <w:multiLevelType w:val="hybridMultilevel"/>
    <w:tmpl w:val="4B3ED9E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8E53686"/>
    <w:multiLevelType w:val="hybridMultilevel"/>
    <w:tmpl w:val="018CB7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1"/>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52"/>
    <w:rsid w:val="000100C5"/>
    <w:rsid w:val="0003245E"/>
    <w:rsid w:val="000416A8"/>
    <w:rsid w:val="00090765"/>
    <w:rsid w:val="000A7917"/>
    <w:rsid w:val="000D0863"/>
    <w:rsid w:val="000E365E"/>
    <w:rsid w:val="001014C9"/>
    <w:rsid w:val="00115AE9"/>
    <w:rsid w:val="00116DDC"/>
    <w:rsid w:val="00143C22"/>
    <w:rsid w:val="001651B8"/>
    <w:rsid w:val="00166536"/>
    <w:rsid w:val="00170CED"/>
    <w:rsid w:val="001958BB"/>
    <w:rsid w:val="001B53BB"/>
    <w:rsid w:val="001C3D87"/>
    <w:rsid w:val="001C5745"/>
    <w:rsid w:val="001D3B32"/>
    <w:rsid w:val="001D5D63"/>
    <w:rsid w:val="00212814"/>
    <w:rsid w:val="002266D2"/>
    <w:rsid w:val="0024504E"/>
    <w:rsid w:val="00246109"/>
    <w:rsid w:val="00274731"/>
    <w:rsid w:val="002B2B2D"/>
    <w:rsid w:val="002E751D"/>
    <w:rsid w:val="003030E1"/>
    <w:rsid w:val="0030664B"/>
    <w:rsid w:val="00334E6C"/>
    <w:rsid w:val="00345683"/>
    <w:rsid w:val="00351DAD"/>
    <w:rsid w:val="0038675B"/>
    <w:rsid w:val="003870F5"/>
    <w:rsid w:val="003930E5"/>
    <w:rsid w:val="003C0521"/>
    <w:rsid w:val="00402281"/>
    <w:rsid w:val="00417C1D"/>
    <w:rsid w:val="00420D4A"/>
    <w:rsid w:val="00437231"/>
    <w:rsid w:val="0048781D"/>
    <w:rsid w:val="004B2B63"/>
    <w:rsid w:val="00534921"/>
    <w:rsid w:val="00570E98"/>
    <w:rsid w:val="005A58CC"/>
    <w:rsid w:val="005D5B92"/>
    <w:rsid w:val="006205E2"/>
    <w:rsid w:val="006509ED"/>
    <w:rsid w:val="006715CA"/>
    <w:rsid w:val="006B783B"/>
    <w:rsid w:val="006D0B48"/>
    <w:rsid w:val="006F0E95"/>
    <w:rsid w:val="006F5FF2"/>
    <w:rsid w:val="006F6202"/>
    <w:rsid w:val="007178D3"/>
    <w:rsid w:val="007B739F"/>
    <w:rsid w:val="00800384"/>
    <w:rsid w:val="00824C80"/>
    <w:rsid w:val="00827BA0"/>
    <w:rsid w:val="00850622"/>
    <w:rsid w:val="008938D2"/>
    <w:rsid w:val="008A479C"/>
    <w:rsid w:val="008E7B5A"/>
    <w:rsid w:val="00943811"/>
    <w:rsid w:val="00993D05"/>
    <w:rsid w:val="009A6EB9"/>
    <w:rsid w:val="009C7BAF"/>
    <w:rsid w:val="009F1B02"/>
    <w:rsid w:val="009F38AE"/>
    <w:rsid w:val="00A312CF"/>
    <w:rsid w:val="00A70894"/>
    <w:rsid w:val="00A72F01"/>
    <w:rsid w:val="00A81A3F"/>
    <w:rsid w:val="00A83AE4"/>
    <w:rsid w:val="00AA511A"/>
    <w:rsid w:val="00AC203D"/>
    <w:rsid w:val="00AF2C55"/>
    <w:rsid w:val="00B064CF"/>
    <w:rsid w:val="00B30AC6"/>
    <w:rsid w:val="00B3411B"/>
    <w:rsid w:val="00B42D3A"/>
    <w:rsid w:val="00B476F7"/>
    <w:rsid w:val="00B4783F"/>
    <w:rsid w:val="00B71503"/>
    <w:rsid w:val="00BB5A54"/>
    <w:rsid w:val="00C125DC"/>
    <w:rsid w:val="00C572F8"/>
    <w:rsid w:val="00C76C42"/>
    <w:rsid w:val="00CC6B17"/>
    <w:rsid w:val="00CD4C17"/>
    <w:rsid w:val="00CF07C9"/>
    <w:rsid w:val="00D1013D"/>
    <w:rsid w:val="00D47854"/>
    <w:rsid w:val="00D55D1C"/>
    <w:rsid w:val="00D67258"/>
    <w:rsid w:val="00D74A88"/>
    <w:rsid w:val="00D92BEC"/>
    <w:rsid w:val="00DC400E"/>
    <w:rsid w:val="00DF2652"/>
    <w:rsid w:val="00E04CCA"/>
    <w:rsid w:val="00EA1A4D"/>
    <w:rsid w:val="00EA31A2"/>
    <w:rsid w:val="00EE30B5"/>
    <w:rsid w:val="00EE4C2A"/>
    <w:rsid w:val="00F01D9F"/>
    <w:rsid w:val="00F13FBB"/>
    <w:rsid w:val="00F447E4"/>
    <w:rsid w:val="00F47BA7"/>
    <w:rsid w:val="00F632E7"/>
    <w:rsid w:val="00FC0F6E"/>
    <w:rsid w:val="00FD2CDF"/>
    <w:rsid w:val="00FF26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D74A0"/>
  <w15:docId w15:val="{5FBD3754-12CA-46B0-B24E-0C01AD7E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A31A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6715CA"/>
    <w:pPr>
      <w:ind w:left="720"/>
      <w:contextualSpacing/>
    </w:pPr>
    <w:rPr>
      <w:lang w:val="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6715CA"/>
    <w:rPr>
      <w:lang w:val="en-US"/>
    </w:rPr>
  </w:style>
  <w:style w:type="paragraph" w:customStyle="1" w:styleId="Lista">
    <w:name w:val="Lista"/>
    <w:basedOn w:val="Normal"/>
    <w:link w:val="ListaChar"/>
    <w:qFormat/>
    <w:rsid w:val="00AC203D"/>
    <w:pPr>
      <w:spacing w:after="60" w:line="360" w:lineRule="auto"/>
      <w:jc w:val="both"/>
      <w:textAlignment w:val="baseline"/>
    </w:pPr>
    <w:rPr>
      <w:rFonts w:ascii="Arial" w:eastAsia="Times New Roman" w:hAnsi="Arial" w:cs="Arial"/>
      <w:color w:val="000000"/>
      <w:sz w:val="24"/>
      <w:szCs w:val="24"/>
      <w:lang w:val="en-GB" w:eastAsia="en-GB"/>
    </w:rPr>
  </w:style>
  <w:style w:type="character" w:customStyle="1" w:styleId="ListaChar">
    <w:name w:val="Lista Char"/>
    <w:basedOn w:val="DefaultParagraphFont"/>
    <w:link w:val="Lista"/>
    <w:rsid w:val="00AC203D"/>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EE30B5"/>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30B5"/>
  </w:style>
  <w:style w:type="paragraph" w:styleId="Footer">
    <w:name w:val="footer"/>
    <w:basedOn w:val="Normal"/>
    <w:link w:val="FooterChar"/>
    <w:uiPriority w:val="99"/>
    <w:unhideWhenUsed/>
    <w:rsid w:val="00EE30B5"/>
    <w:pPr>
      <w:tabs>
        <w:tab w:val="center" w:pos="4703"/>
        <w:tab w:val="right" w:pos="9406"/>
      </w:tabs>
      <w:spacing w:after="0" w:line="240" w:lineRule="auto"/>
    </w:pPr>
  </w:style>
  <w:style w:type="character" w:customStyle="1" w:styleId="FooterChar">
    <w:name w:val="Footer Char"/>
    <w:basedOn w:val="DefaultParagraphFont"/>
    <w:link w:val="Footer"/>
    <w:uiPriority w:val="99"/>
    <w:rsid w:val="00EE30B5"/>
  </w:style>
  <w:style w:type="character" w:customStyle="1" w:styleId="Heading2Char">
    <w:name w:val="Heading 2 Char"/>
    <w:basedOn w:val="DefaultParagraphFont"/>
    <w:link w:val="Heading2"/>
    <w:uiPriority w:val="9"/>
    <w:rsid w:val="00EA31A2"/>
    <w:rPr>
      <w:rFonts w:asciiTheme="majorHAnsi" w:eastAsiaTheme="majorEastAsia" w:hAnsiTheme="majorHAnsi" w:cstheme="majorBidi"/>
      <w:color w:val="365F91" w:themeColor="accent1" w:themeShade="BF"/>
      <w:sz w:val="26"/>
      <w:szCs w:val="2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7283">
      <w:bodyDiv w:val="1"/>
      <w:marLeft w:val="0"/>
      <w:marRight w:val="0"/>
      <w:marTop w:val="0"/>
      <w:marBottom w:val="0"/>
      <w:divBdr>
        <w:top w:val="none" w:sz="0" w:space="0" w:color="auto"/>
        <w:left w:val="none" w:sz="0" w:space="0" w:color="auto"/>
        <w:bottom w:val="none" w:sz="0" w:space="0" w:color="auto"/>
        <w:right w:val="none" w:sz="0" w:space="0" w:color="auto"/>
      </w:divBdr>
    </w:div>
    <w:div w:id="1623221816">
      <w:bodyDiv w:val="1"/>
      <w:marLeft w:val="0"/>
      <w:marRight w:val="0"/>
      <w:marTop w:val="0"/>
      <w:marBottom w:val="0"/>
      <w:divBdr>
        <w:top w:val="none" w:sz="0" w:space="0" w:color="auto"/>
        <w:left w:val="none" w:sz="0" w:space="0" w:color="auto"/>
        <w:bottom w:val="none" w:sz="0" w:space="0" w:color="auto"/>
        <w:right w:val="none" w:sz="0" w:space="0" w:color="auto"/>
      </w:divBdr>
      <w:divsChild>
        <w:div w:id="350139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E84B7-3101-4CA9-AC96-58677743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Madalina Iliuta</dc:creator>
  <cp:lastModifiedBy>Vlad Ilina</cp:lastModifiedBy>
  <cp:revision>2</cp:revision>
  <cp:lastPrinted>2021-05-12T11:44:00Z</cp:lastPrinted>
  <dcterms:created xsi:type="dcterms:W3CDTF">2021-05-31T00:06:00Z</dcterms:created>
  <dcterms:modified xsi:type="dcterms:W3CDTF">2021-05-31T00:06:00Z</dcterms:modified>
</cp:coreProperties>
</file>