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82D" w:rsidRDefault="001A6FB8" w:rsidP="00E050DF">
      <w:pPr>
        <w:rPr>
          <w:lang w:val="ro-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75.3pt;margin-top:-15.2pt;width:161.35pt;height:853.25pt;z-index:-251657728;mso-position-horizontal-relative:text;mso-position-vertical-relative:text">
            <v:imagedata r:id="rId8" o:title="abstract-art-design-305816" cropbottom="31584f" cropleft="20056f" cropright="9823f"/>
          </v:shape>
        </w:pict>
      </w:r>
    </w:p>
    <w:p w:rsidR="00E3116E" w:rsidRDefault="00500A91" w:rsidP="00E050DF">
      <w:pPr>
        <w:rPr>
          <w:lang w:val="ro-RO"/>
        </w:rPr>
      </w:pPr>
      <w:r>
        <w:rPr>
          <w:noProof/>
          <w:lang w:eastAsia="en-GB"/>
        </w:rPr>
        <mc:AlternateContent>
          <mc:Choice Requires="wps">
            <w:drawing>
              <wp:anchor distT="0" distB="0" distL="114300" distR="114300" simplePos="0" relativeHeight="251657728" behindDoc="0" locked="0" layoutInCell="1" allowOverlap="1" wp14:anchorId="1478CA46" wp14:editId="78F4AD94">
                <wp:simplePos x="0" y="0"/>
                <wp:positionH relativeFrom="column">
                  <wp:posOffset>-177165</wp:posOffset>
                </wp:positionH>
                <wp:positionV relativeFrom="paragraph">
                  <wp:posOffset>2601595</wp:posOffset>
                </wp:positionV>
                <wp:extent cx="4752975" cy="7134225"/>
                <wp:effectExtent l="0" t="0" r="0" b="0"/>
                <wp:wrapNone/>
                <wp:docPr id="1" name="Rectangle 1"/>
                <wp:cNvGraphicFramePr/>
                <a:graphic xmlns:a="http://schemas.openxmlformats.org/drawingml/2006/main">
                  <a:graphicData uri="http://schemas.microsoft.com/office/word/2010/wordprocessingShape">
                    <wps:wsp>
                      <wps:cNvSpPr/>
                      <wps:spPr>
                        <a:xfrm>
                          <a:off x="0" y="0"/>
                          <a:ext cx="4752975" cy="7134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A6FB8" w:rsidRPr="00DD580A" w:rsidRDefault="001A6FB8" w:rsidP="00241D3C">
                            <w:pPr>
                              <w:spacing w:before="120" w:after="120" w:line="240" w:lineRule="auto"/>
                              <w:ind w:right="198"/>
                              <w:jc w:val="right"/>
                              <w:rPr>
                                <w:rFonts w:ascii="Trebuchet MS" w:hAnsi="Trebuchet MS"/>
                                <w:b/>
                                <w:color w:val="595959" w:themeColor="text1" w:themeTint="A6"/>
                                <w:sz w:val="44"/>
                                <w:szCs w:val="44"/>
                                <w:lang w:val="ro-RO"/>
                              </w:rPr>
                            </w:pPr>
                            <w:r w:rsidRPr="00DD580A">
                              <w:rPr>
                                <w:rFonts w:ascii="Trebuchet MS" w:hAnsi="Trebuchet MS"/>
                                <w:b/>
                                <w:color w:val="595959" w:themeColor="text1" w:themeTint="A6"/>
                                <w:sz w:val="44"/>
                                <w:szCs w:val="44"/>
                                <w:lang w:val="ro-RO"/>
                              </w:rPr>
                              <w:t>Servicii de Asisten</w:t>
                            </w:r>
                            <w:r w:rsidRPr="00DD580A">
                              <w:rPr>
                                <w:rFonts w:ascii="Trebuchet MS" w:hAnsi="Trebuchet MS" w:cs="Calibri"/>
                                <w:b/>
                                <w:color w:val="595959" w:themeColor="text1" w:themeTint="A6"/>
                                <w:sz w:val="44"/>
                                <w:szCs w:val="44"/>
                                <w:lang w:val="ro-RO"/>
                              </w:rPr>
                              <w:t>ță</w:t>
                            </w:r>
                            <w:r w:rsidRPr="00DD580A">
                              <w:rPr>
                                <w:rFonts w:ascii="Trebuchet MS" w:hAnsi="Trebuchet MS"/>
                                <w:b/>
                                <w:color w:val="595959" w:themeColor="text1" w:themeTint="A6"/>
                                <w:sz w:val="44"/>
                                <w:szCs w:val="44"/>
                                <w:lang w:val="ro-RO"/>
                              </w:rPr>
                              <w:t xml:space="preserve"> Tehnic</w:t>
                            </w:r>
                            <w:r w:rsidRPr="00DD580A">
                              <w:rPr>
                                <w:rFonts w:ascii="Trebuchet MS" w:hAnsi="Trebuchet MS" w:cs="Calibri"/>
                                <w:b/>
                                <w:color w:val="595959" w:themeColor="text1" w:themeTint="A6"/>
                                <w:sz w:val="44"/>
                                <w:szCs w:val="44"/>
                                <w:lang w:val="ro-RO"/>
                              </w:rPr>
                              <w:t>ă</w:t>
                            </w:r>
                          </w:p>
                          <w:p w:rsidR="001A6FB8" w:rsidRPr="00DD580A" w:rsidRDefault="001A6FB8" w:rsidP="00241D3C">
                            <w:pPr>
                              <w:spacing w:before="120" w:after="120" w:line="240" w:lineRule="auto"/>
                              <w:ind w:right="198"/>
                              <w:jc w:val="right"/>
                              <w:rPr>
                                <w:rFonts w:ascii="Trebuchet MS" w:hAnsi="Trebuchet MS"/>
                                <w:b/>
                                <w:color w:val="595959" w:themeColor="text1" w:themeTint="A6"/>
                                <w:sz w:val="44"/>
                                <w:szCs w:val="44"/>
                                <w:lang w:val="ro-RO"/>
                              </w:rPr>
                            </w:pPr>
                            <w:r w:rsidRPr="00DD580A">
                              <w:rPr>
                                <w:rFonts w:ascii="Trebuchet MS" w:hAnsi="Trebuchet MS"/>
                                <w:b/>
                                <w:color w:val="595959" w:themeColor="text1" w:themeTint="A6"/>
                                <w:sz w:val="44"/>
                                <w:szCs w:val="44"/>
                                <w:lang w:val="ro-RO"/>
                              </w:rPr>
                              <w:t>pentru Proiecte</w:t>
                            </w:r>
                          </w:p>
                          <w:p w:rsidR="001A6FB8" w:rsidRPr="00DD580A" w:rsidRDefault="001A6FB8" w:rsidP="00500A91">
                            <w:pPr>
                              <w:spacing w:before="120" w:after="120" w:line="240" w:lineRule="auto"/>
                              <w:ind w:right="198"/>
                              <w:jc w:val="right"/>
                              <w:rPr>
                                <w:rFonts w:ascii="Trebuchet MS" w:hAnsi="Trebuchet MS"/>
                                <w:b/>
                                <w:color w:val="595959" w:themeColor="text1" w:themeTint="A6"/>
                                <w:sz w:val="44"/>
                                <w:szCs w:val="44"/>
                                <w:lang w:val="ro-RO"/>
                              </w:rPr>
                            </w:pPr>
                            <w:r>
                              <w:rPr>
                                <w:rFonts w:ascii="Trebuchet MS" w:hAnsi="Trebuchet MS"/>
                                <w:b/>
                                <w:color w:val="595959" w:themeColor="text1" w:themeTint="A6"/>
                                <w:sz w:val="44"/>
                                <w:szCs w:val="44"/>
                                <w:lang w:val="ro-RO"/>
                              </w:rPr>
                              <w:t>AA 010343 – PASSA MFE 2</w:t>
                            </w:r>
                          </w:p>
                          <w:p w:rsidR="001A6FB8" w:rsidRPr="00DD580A" w:rsidRDefault="001A6FB8" w:rsidP="00500A91">
                            <w:pPr>
                              <w:spacing w:after="0" w:line="240" w:lineRule="auto"/>
                              <w:ind w:right="198"/>
                              <w:jc w:val="right"/>
                              <w:rPr>
                                <w:rFonts w:ascii="Trebuchet MS" w:hAnsi="Trebuchet MS"/>
                                <w:b/>
                                <w:color w:val="595959" w:themeColor="text1" w:themeTint="A6"/>
                                <w:sz w:val="52"/>
                                <w:szCs w:val="70"/>
                                <w:lang w:val="ro-RO"/>
                              </w:rPr>
                            </w:pPr>
                            <w:r>
                              <w:rPr>
                                <w:rFonts w:ascii="Trebuchet MS" w:hAnsi="Trebuchet MS"/>
                                <w:b/>
                                <w:color w:val="595959" w:themeColor="text1" w:themeTint="A6"/>
                                <w:sz w:val="44"/>
                                <w:szCs w:val="44"/>
                                <w:lang w:val="ro-RO"/>
                              </w:rPr>
                              <w:t>Vehicule electrice în ACB</w:t>
                            </w:r>
                          </w:p>
                          <w:p w:rsidR="001A6FB8" w:rsidRPr="00B32B8E" w:rsidRDefault="001A6FB8" w:rsidP="00500A91">
                            <w:pPr>
                              <w:spacing w:after="0" w:line="240" w:lineRule="auto"/>
                              <w:ind w:right="-1"/>
                              <w:jc w:val="right"/>
                              <w:rPr>
                                <w:rFonts w:ascii="Futura Lt BT" w:hAnsi="Futura Lt BT"/>
                                <w:b/>
                                <w:color w:val="595959" w:themeColor="text1" w:themeTint="A6"/>
                                <w:sz w:val="60"/>
                                <w:szCs w:val="60"/>
                                <w:lang w:val="ro-RO"/>
                              </w:rPr>
                            </w:pPr>
                          </w:p>
                          <w:p w:rsidR="001A6FB8" w:rsidRPr="00B32B8E" w:rsidRDefault="001A6FB8" w:rsidP="00500A91">
                            <w:pPr>
                              <w:spacing w:after="0" w:line="240" w:lineRule="auto"/>
                              <w:ind w:right="-1"/>
                              <w:jc w:val="right"/>
                              <w:rPr>
                                <w:rFonts w:ascii="Futura Lt BT" w:hAnsi="Futura Lt BT"/>
                                <w:b/>
                                <w:color w:val="595959" w:themeColor="text1" w:themeTint="A6"/>
                                <w:sz w:val="60"/>
                                <w:szCs w:val="60"/>
                                <w:lang w:val="ro-RO"/>
                              </w:rPr>
                            </w:pPr>
                          </w:p>
                          <w:p w:rsidR="001A6FB8" w:rsidRDefault="001A6FB8" w:rsidP="00500A91">
                            <w:pPr>
                              <w:spacing w:after="0" w:line="240" w:lineRule="auto"/>
                              <w:ind w:left="4320" w:right="-1"/>
                              <w:rPr>
                                <w:rFonts w:ascii="Futura Lt BT" w:hAnsi="Futura Lt BT"/>
                                <w:b/>
                                <w:color w:val="595959" w:themeColor="text1" w:themeTint="A6"/>
                                <w:sz w:val="36"/>
                                <w:szCs w:val="60"/>
                                <w:lang w:val="ro-RO"/>
                              </w:rPr>
                            </w:pPr>
                          </w:p>
                          <w:p w:rsidR="001A6FB8" w:rsidRDefault="001A6FB8" w:rsidP="00500A91">
                            <w:pPr>
                              <w:spacing w:after="0" w:line="240" w:lineRule="auto"/>
                              <w:ind w:left="4320" w:right="-1"/>
                              <w:rPr>
                                <w:rFonts w:ascii="Futura Lt BT" w:hAnsi="Futura Lt BT"/>
                                <w:b/>
                                <w:color w:val="595959" w:themeColor="text1" w:themeTint="A6"/>
                                <w:sz w:val="36"/>
                                <w:szCs w:val="60"/>
                                <w:lang w:val="ro-RO"/>
                              </w:rPr>
                            </w:pPr>
                          </w:p>
                          <w:p w:rsidR="001A6FB8" w:rsidRDefault="001A6FB8" w:rsidP="00500A91">
                            <w:pPr>
                              <w:spacing w:after="0" w:line="240" w:lineRule="auto"/>
                              <w:ind w:left="4320" w:right="-1"/>
                              <w:rPr>
                                <w:rFonts w:ascii="Futura Lt BT" w:hAnsi="Futura Lt BT"/>
                                <w:b/>
                                <w:color w:val="595959" w:themeColor="text1" w:themeTint="A6"/>
                                <w:sz w:val="36"/>
                                <w:szCs w:val="60"/>
                                <w:lang w:val="ro-RO"/>
                              </w:rPr>
                            </w:pPr>
                          </w:p>
                          <w:p w:rsidR="001A6FB8" w:rsidRDefault="001A6FB8" w:rsidP="00500A91">
                            <w:pPr>
                              <w:spacing w:after="0" w:line="240" w:lineRule="auto"/>
                              <w:ind w:left="4320" w:right="-1"/>
                              <w:rPr>
                                <w:rFonts w:ascii="Futura Lt BT" w:hAnsi="Futura Lt BT"/>
                                <w:b/>
                                <w:color w:val="595959" w:themeColor="text1" w:themeTint="A6"/>
                                <w:sz w:val="36"/>
                                <w:szCs w:val="60"/>
                                <w:lang w:val="ro-RO"/>
                              </w:rPr>
                            </w:pPr>
                          </w:p>
                          <w:p w:rsidR="001A6FB8" w:rsidRDefault="001A6FB8" w:rsidP="00500A91">
                            <w:pPr>
                              <w:spacing w:after="0" w:line="240" w:lineRule="auto"/>
                              <w:ind w:left="4320" w:right="-1"/>
                              <w:rPr>
                                <w:rFonts w:ascii="Futura Lt BT" w:hAnsi="Futura Lt BT"/>
                                <w:b/>
                                <w:color w:val="595959" w:themeColor="text1" w:themeTint="A6"/>
                                <w:sz w:val="36"/>
                                <w:szCs w:val="60"/>
                                <w:lang w:val="ro-RO"/>
                              </w:rPr>
                            </w:pPr>
                          </w:p>
                          <w:p w:rsidR="001A6FB8" w:rsidRDefault="001A6FB8" w:rsidP="00500A91">
                            <w:pPr>
                              <w:spacing w:after="0" w:line="240" w:lineRule="auto"/>
                              <w:ind w:left="4320" w:right="-1"/>
                              <w:rPr>
                                <w:rFonts w:ascii="Futura Lt BT" w:hAnsi="Futura Lt BT"/>
                                <w:b/>
                                <w:color w:val="595959" w:themeColor="text1" w:themeTint="A6"/>
                                <w:sz w:val="36"/>
                                <w:szCs w:val="60"/>
                                <w:lang w:val="ro-RO"/>
                              </w:rPr>
                            </w:pPr>
                          </w:p>
                          <w:p w:rsidR="001A6FB8" w:rsidRDefault="001A6FB8" w:rsidP="00500A91">
                            <w:pPr>
                              <w:spacing w:after="0" w:line="240" w:lineRule="auto"/>
                              <w:ind w:left="4320" w:right="-1"/>
                              <w:rPr>
                                <w:rFonts w:ascii="Futura Lt BT" w:hAnsi="Futura Lt BT"/>
                                <w:b/>
                                <w:color w:val="595959" w:themeColor="text1" w:themeTint="A6"/>
                                <w:sz w:val="36"/>
                                <w:szCs w:val="60"/>
                                <w:lang w:val="ro-RO"/>
                              </w:rPr>
                            </w:pPr>
                          </w:p>
                          <w:p w:rsidR="001A6FB8" w:rsidRDefault="001A6FB8" w:rsidP="00500A91">
                            <w:pPr>
                              <w:spacing w:after="0" w:line="240" w:lineRule="auto"/>
                              <w:ind w:left="4320" w:right="-1"/>
                              <w:rPr>
                                <w:rFonts w:ascii="Futura Lt BT" w:hAnsi="Futura Lt BT"/>
                                <w:b/>
                                <w:color w:val="595959" w:themeColor="text1" w:themeTint="A6"/>
                                <w:sz w:val="36"/>
                                <w:szCs w:val="60"/>
                                <w:lang w:val="ro-RO"/>
                              </w:rPr>
                            </w:pPr>
                          </w:p>
                          <w:p w:rsidR="001A6FB8" w:rsidRDefault="001A6FB8" w:rsidP="00500A91">
                            <w:pPr>
                              <w:spacing w:after="0" w:line="240" w:lineRule="auto"/>
                              <w:ind w:left="4320" w:right="-1"/>
                              <w:rPr>
                                <w:rFonts w:ascii="Futura Lt BT" w:hAnsi="Futura Lt BT"/>
                                <w:b/>
                                <w:color w:val="595959" w:themeColor="text1" w:themeTint="A6"/>
                                <w:sz w:val="36"/>
                                <w:szCs w:val="60"/>
                                <w:lang w:val="ro-RO"/>
                              </w:rPr>
                            </w:pPr>
                          </w:p>
                          <w:p w:rsidR="001A6FB8" w:rsidRDefault="001A6FB8" w:rsidP="00500A91">
                            <w:pPr>
                              <w:spacing w:after="0" w:line="240" w:lineRule="auto"/>
                              <w:ind w:left="4320" w:right="-1"/>
                              <w:rPr>
                                <w:rFonts w:ascii="Futura Lt BT" w:hAnsi="Futura Lt BT"/>
                                <w:b/>
                                <w:color w:val="595959" w:themeColor="text1" w:themeTint="A6"/>
                                <w:sz w:val="36"/>
                                <w:szCs w:val="60"/>
                                <w:lang w:val="ro-RO"/>
                              </w:rPr>
                            </w:pPr>
                          </w:p>
                          <w:p w:rsidR="001A6FB8" w:rsidRDefault="001A6FB8" w:rsidP="00500A91">
                            <w:pPr>
                              <w:spacing w:after="0" w:line="240" w:lineRule="auto"/>
                              <w:ind w:left="4320" w:right="-1"/>
                              <w:rPr>
                                <w:rFonts w:ascii="Futura Lt BT" w:hAnsi="Futura Lt BT"/>
                                <w:b/>
                                <w:color w:val="595959" w:themeColor="text1" w:themeTint="A6"/>
                                <w:sz w:val="36"/>
                                <w:szCs w:val="60"/>
                                <w:lang w:val="ro-RO"/>
                              </w:rPr>
                            </w:pPr>
                          </w:p>
                          <w:p w:rsidR="001A6FB8" w:rsidRPr="005F2CD3" w:rsidRDefault="001A6FB8" w:rsidP="00500A91">
                            <w:pPr>
                              <w:spacing w:after="0" w:line="240" w:lineRule="auto"/>
                              <w:ind w:left="4320" w:right="-1"/>
                              <w:rPr>
                                <w:rFonts w:ascii="Trebuchet MS" w:hAnsi="Trebuchet MS"/>
                                <w:b/>
                                <w:color w:val="595959" w:themeColor="text1" w:themeTint="A6"/>
                                <w:sz w:val="32"/>
                                <w:szCs w:val="60"/>
                                <w:lang w:val="ro-RO"/>
                              </w:rPr>
                            </w:pPr>
                            <w:r w:rsidRPr="005F2CD3">
                              <w:rPr>
                                <w:rFonts w:ascii="Trebuchet MS" w:hAnsi="Trebuchet MS"/>
                                <w:b/>
                                <w:color w:val="595959" w:themeColor="text1" w:themeTint="A6"/>
                                <w:sz w:val="32"/>
                                <w:szCs w:val="60"/>
                                <w:lang w:val="ro-RO"/>
                              </w:rPr>
                              <w:t>Data:</w:t>
                            </w:r>
                            <w:r>
                              <w:rPr>
                                <w:rFonts w:ascii="Trebuchet MS" w:hAnsi="Trebuchet MS"/>
                                <w:b/>
                                <w:color w:val="595959" w:themeColor="text1" w:themeTint="A6"/>
                                <w:sz w:val="32"/>
                                <w:szCs w:val="60"/>
                                <w:lang w:val="ro-RO"/>
                              </w:rPr>
                              <w:t xml:space="preserve"> 29.03.2021</w:t>
                            </w:r>
                          </w:p>
                          <w:p w:rsidR="001A6FB8" w:rsidRPr="005F2CD3" w:rsidRDefault="001A6FB8" w:rsidP="00500A91">
                            <w:pPr>
                              <w:spacing w:after="0"/>
                              <w:rPr>
                                <w:rFonts w:ascii="Trebuchet MS" w:hAnsi="Trebuchet MS"/>
                                <w:b/>
                                <w:color w:val="595959" w:themeColor="text1" w:themeTint="A6"/>
                                <w:sz w:val="36"/>
                                <w:szCs w:val="60"/>
                                <w:lang w:val="ro-RO"/>
                              </w:rPr>
                            </w:pPr>
                          </w:p>
                          <w:p w:rsidR="001A6FB8" w:rsidRPr="005F2CD3" w:rsidRDefault="001A6FB8" w:rsidP="00500A91">
                            <w:pPr>
                              <w:spacing w:after="0"/>
                              <w:rPr>
                                <w:rFonts w:ascii="Trebuchet MS" w:hAnsi="Trebuchet MS"/>
                                <w:b/>
                                <w:color w:val="595959" w:themeColor="text1" w:themeTint="A6"/>
                                <w:sz w:val="36"/>
                                <w:szCs w:val="60"/>
                                <w:lang w:val="ro-RO"/>
                              </w:rPr>
                            </w:pPr>
                          </w:p>
                          <w:p w:rsidR="001A6FB8" w:rsidRPr="005F2CD3" w:rsidRDefault="001A6FB8" w:rsidP="00500A91">
                            <w:pPr>
                              <w:spacing w:after="0"/>
                              <w:rPr>
                                <w:rFonts w:ascii="Trebuchet MS" w:hAnsi="Trebuchet MS"/>
                                <w:b/>
                                <w:color w:val="595959" w:themeColor="text1" w:themeTint="A6"/>
                                <w:sz w:val="32"/>
                                <w:szCs w:val="60"/>
                                <w:lang w:val="ro-RO"/>
                              </w:rPr>
                            </w:pPr>
                            <w:r w:rsidRPr="005F2CD3">
                              <w:rPr>
                                <w:rFonts w:ascii="Trebuchet MS" w:hAnsi="Trebuchet MS"/>
                                <w:b/>
                                <w:color w:val="595959" w:themeColor="text1" w:themeTint="A6"/>
                                <w:sz w:val="32"/>
                                <w:szCs w:val="60"/>
                                <w:lang w:val="ro-RO"/>
                              </w:rPr>
                              <w:t>Beneficiar:</w:t>
                            </w:r>
                            <w:r>
                              <w:rPr>
                                <w:rFonts w:ascii="Trebuchet MS" w:hAnsi="Trebuchet MS"/>
                                <w:b/>
                                <w:color w:val="595959" w:themeColor="text1" w:themeTint="A6"/>
                                <w:sz w:val="32"/>
                                <w:szCs w:val="60"/>
                                <w:lang w:val="ro-RO"/>
                              </w:rPr>
                              <w:t xml:space="preserve"> OI-T</w:t>
                            </w:r>
                          </w:p>
                          <w:p w:rsidR="001A6FB8" w:rsidRPr="005F2CD3" w:rsidRDefault="001A6FB8" w:rsidP="00500A91">
                            <w:pPr>
                              <w:spacing w:after="0"/>
                              <w:rPr>
                                <w:rFonts w:ascii="Trebuchet MS" w:hAnsi="Trebuchet MS"/>
                                <w:b/>
                                <w:color w:val="595959" w:themeColor="text1" w:themeTint="A6"/>
                                <w:sz w:val="32"/>
                                <w:szCs w:val="60"/>
                                <w:lang w:val="ro-RO"/>
                              </w:rPr>
                            </w:pPr>
                            <w:r w:rsidRPr="005F2CD3">
                              <w:rPr>
                                <w:rFonts w:ascii="Trebuchet MS" w:hAnsi="Trebuchet MS"/>
                                <w:b/>
                                <w:color w:val="595959" w:themeColor="text1" w:themeTint="A6"/>
                                <w:sz w:val="32"/>
                                <w:szCs w:val="60"/>
                                <w:lang w:val="ro-RO"/>
                              </w:rPr>
                              <w:t>Autor:</w:t>
                            </w:r>
                            <w:r>
                              <w:rPr>
                                <w:rFonts w:ascii="Trebuchet MS" w:hAnsi="Trebuchet MS"/>
                                <w:b/>
                                <w:color w:val="595959" w:themeColor="text1" w:themeTint="A6"/>
                                <w:sz w:val="32"/>
                                <w:szCs w:val="60"/>
                                <w:lang w:val="ro-RO"/>
                              </w:rPr>
                              <w:t xml:space="preserve"> Alexis </w:t>
                            </w:r>
                            <w:proofErr w:type="spellStart"/>
                            <w:r>
                              <w:rPr>
                                <w:rFonts w:ascii="Trebuchet MS" w:hAnsi="Trebuchet MS"/>
                                <w:b/>
                                <w:color w:val="595959" w:themeColor="text1" w:themeTint="A6"/>
                                <w:sz w:val="32"/>
                                <w:szCs w:val="60"/>
                                <w:lang w:val="ro-RO"/>
                              </w:rPr>
                              <w:t>Gressier</w:t>
                            </w:r>
                            <w:proofErr w:type="spellEnd"/>
                          </w:p>
                          <w:p w:rsidR="001A6FB8" w:rsidRPr="005F2CD3" w:rsidRDefault="001A6FB8" w:rsidP="00500A91">
                            <w:pPr>
                              <w:jc w:val="center"/>
                              <w:rPr>
                                <w:lang w:val="ro-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8CA46" id="Rectangle 1" o:spid="_x0000_s1026" style="position:absolute;margin-left:-13.95pt;margin-top:204.85pt;width:374.25pt;height:56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" filled="f" stroked="f" strokeweight="1pt">
                <v:textbox>
                  <w:txbxContent>
                    <w:p w:rsidR="001A6FB8" w:rsidRPr="00DD580A" w:rsidRDefault="001A6FB8" w:rsidP="00241D3C">
                      <w:pPr>
                        <w:spacing w:before="120" w:after="120" w:line="240" w:lineRule="auto"/>
                        <w:ind w:right="198"/>
                        <w:jc w:val="right"/>
                        <w:rPr>
                          <w:rFonts w:ascii="Trebuchet MS" w:hAnsi="Trebuchet MS"/>
                          <w:b/>
                          <w:color w:val="595959" w:themeColor="text1" w:themeTint="A6"/>
                          <w:sz w:val="44"/>
                          <w:szCs w:val="44"/>
                          <w:lang w:val="ro-RO"/>
                        </w:rPr>
                      </w:pPr>
                      <w:r w:rsidRPr="00DD580A">
                        <w:rPr>
                          <w:rFonts w:ascii="Trebuchet MS" w:hAnsi="Trebuchet MS"/>
                          <w:b/>
                          <w:color w:val="595959" w:themeColor="text1" w:themeTint="A6"/>
                          <w:sz w:val="44"/>
                          <w:szCs w:val="44"/>
                          <w:lang w:val="ro-RO"/>
                        </w:rPr>
                        <w:t>Servicii de Asisten</w:t>
                      </w:r>
                      <w:r w:rsidRPr="00DD580A">
                        <w:rPr>
                          <w:rFonts w:ascii="Trebuchet MS" w:hAnsi="Trebuchet MS" w:cs="Calibri"/>
                          <w:b/>
                          <w:color w:val="595959" w:themeColor="text1" w:themeTint="A6"/>
                          <w:sz w:val="44"/>
                          <w:szCs w:val="44"/>
                          <w:lang w:val="ro-RO"/>
                        </w:rPr>
                        <w:t>ță</w:t>
                      </w:r>
                      <w:r w:rsidRPr="00DD580A">
                        <w:rPr>
                          <w:rFonts w:ascii="Trebuchet MS" w:hAnsi="Trebuchet MS"/>
                          <w:b/>
                          <w:color w:val="595959" w:themeColor="text1" w:themeTint="A6"/>
                          <w:sz w:val="44"/>
                          <w:szCs w:val="44"/>
                          <w:lang w:val="ro-RO"/>
                        </w:rPr>
                        <w:t xml:space="preserve"> Tehnic</w:t>
                      </w:r>
                      <w:r w:rsidRPr="00DD580A">
                        <w:rPr>
                          <w:rFonts w:ascii="Trebuchet MS" w:hAnsi="Trebuchet MS" w:cs="Calibri"/>
                          <w:b/>
                          <w:color w:val="595959" w:themeColor="text1" w:themeTint="A6"/>
                          <w:sz w:val="44"/>
                          <w:szCs w:val="44"/>
                          <w:lang w:val="ro-RO"/>
                        </w:rPr>
                        <w:t>ă</w:t>
                      </w:r>
                    </w:p>
                    <w:p w:rsidR="001A6FB8" w:rsidRPr="00DD580A" w:rsidRDefault="001A6FB8" w:rsidP="00241D3C">
                      <w:pPr>
                        <w:spacing w:before="120" w:after="120" w:line="240" w:lineRule="auto"/>
                        <w:ind w:right="198"/>
                        <w:jc w:val="right"/>
                        <w:rPr>
                          <w:rFonts w:ascii="Trebuchet MS" w:hAnsi="Trebuchet MS"/>
                          <w:b/>
                          <w:color w:val="595959" w:themeColor="text1" w:themeTint="A6"/>
                          <w:sz w:val="44"/>
                          <w:szCs w:val="44"/>
                          <w:lang w:val="ro-RO"/>
                        </w:rPr>
                      </w:pPr>
                      <w:r w:rsidRPr="00DD580A">
                        <w:rPr>
                          <w:rFonts w:ascii="Trebuchet MS" w:hAnsi="Trebuchet MS"/>
                          <w:b/>
                          <w:color w:val="595959" w:themeColor="text1" w:themeTint="A6"/>
                          <w:sz w:val="44"/>
                          <w:szCs w:val="44"/>
                          <w:lang w:val="ro-RO"/>
                        </w:rPr>
                        <w:t>pentru Proiecte</w:t>
                      </w:r>
                    </w:p>
                    <w:p w:rsidR="001A6FB8" w:rsidRPr="00DD580A" w:rsidRDefault="001A6FB8" w:rsidP="00500A91">
                      <w:pPr>
                        <w:spacing w:before="120" w:after="120" w:line="240" w:lineRule="auto"/>
                        <w:ind w:right="198"/>
                        <w:jc w:val="right"/>
                        <w:rPr>
                          <w:rFonts w:ascii="Trebuchet MS" w:hAnsi="Trebuchet MS"/>
                          <w:b/>
                          <w:color w:val="595959" w:themeColor="text1" w:themeTint="A6"/>
                          <w:sz w:val="44"/>
                          <w:szCs w:val="44"/>
                          <w:lang w:val="ro-RO"/>
                        </w:rPr>
                      </w:pPr>
                      <w:r>
                        <w:rPr>
                          <w:rFonts w:ascii="Trebuchet MS" w:hAnsi="Trebuchet MS"/>
                          <w:b/>
                          <w:color w:val="595959" w:themeColor="text1" w:themeTint="A6"/>
                          <w:sz w:val="44"/>
                          <w:szCs w:val="44"/>
                          <w:lang w:val="ro-RO"/>
                        </w:rPr>
                        <w:t>AA 010343 – PASSA MFE 2</w:t>
                      </w:r>
                    </w:p>
                    <w:p w:rsidR="001A6FB8" w:rsidRPr="00DD580A" w:rsidRDefault="001A6FB8" w:rsidP="00500A91">
                      <w:pPr>
                        <w:spacing w:after="0" w:line="240" w:lineRule="auto"/>
                        <w:ind w:right="198"/>
                        <w:jc w:val="right"/>
                        <w:rPr>
                          <w:rFonts w:ascii="Trebuchet MS" w:hAnsi="Trebuchet MS"/>
                          <w:b/>
                          <w:color w:val="595959" w:themeColor="text1" w:themeTint="A6"/>
                          <w:sz w:val="52"/>
                          <w:szCs w:val="70"/>
                          <w:lang w:val="ro-RO"/>
                        </w:rPr>
                      </w:pPr>
                      <w:r>
                        <w:rPr>
                          <w:rFonts w:ascii="Trebuchet MS" w:hAnsi="Trebuchet MS"/>
                          <w:b/>
                          <w:color w:val="595959" w:themeColor="text1" w:themeTint="A6"/>
                          <w:sz w:val="44"/>
                          <w:szCs w:val="44"/>
                          <w:lang w:val="ro-RO"/>
                        </w:rPr>
                        <w:t>Vehicule electrice în ACB</w:t>
                      </w:r>
                    </w:p>
                    <w:p w:rsidR="001A6FB8" w:rsidRPr="00B32B8E" w:rsidRDefault="001A6FB8" w:rsidP="00500A91">
                      <w:pPr>
                        <w:spacing w:after="0" w:line="240" w:lineRule="auto"/>
                        <w:ind w:right="-1"/>
                        <w:jc w:val="right"/>
                        <w:rPr>
                          <w:rFonts w:ascii="Futura Lt BT" w:hAnsi="Futura Lt BT"/>
                          <w:b/>
                          <w:color w:val="595959" w:themeColor="text1" w:themeTint="A6"/>
                          <w:sz w:val="60"/>
                          <w:szCs w:val="60"/>
                          <w:lang w:val="ro-RO"/>
                        </w:rPr>
                      </w:pPr>
                    </w:p>
                    <w:p w:rsidR="001A6FB8" w:rsidRPr="00B32B8E" w:rsidRDefault="001A6FB8" w:rsidP="00500A91">
                      <w:pPr>
                        <w:spacing w:after="0" w:line="240" w:lineRule="auto"/>
                        <w:ind w:right="-1"/>
                        <w:jc w:val="right"/>
                        <w:rPr>
                          <w:rFonts w:ascii="Futura Lt BT" w:hAnsi="Futura Lt BT"/>
                          <w:b/>
                          <w:color w:val="595959" w:themeColor="text1" w:themeTint="A6"/>
                          <w:sz w:val="60"/>
                          <w:szCs w:val="60"/>
                          <w:lang w:val="ro-RO"/>
                        </w:rPr>
                      </w:pPr>
                    </w:p>
                    <w:p w:rsidR="001A6FB8" w:rsidRDefault="001A6FB8" w:rsidP="00500A91">
                      <w:pPr>
                        <w:spacing w:after="0" w:line="240" w:lineRule="auto"/>
                        <w:ind w:left="4320" w:right="-1"/>
                        <w:rPr>
                          <w:rFonts w:ascii="Futura Lt BT" w:hAnsi="Futura Lt BT"/>
                          <w:b/>
                          <w:color w:val="595959" w:themeColor="text1" w:themeTint="A6"/>
                          <w:sz w:val="36"/>
                          <w:szCs w:val="60"/>
                          <w:lang w:val="ro-RO"/>
                        </w:rPr>
                      </w:pPr>
                    </w:p>
                    <w:p w:rsidR="001A6FB8" w:rsidRDefault="001A6FB8" w:rsidP="00500A91">
                      <w:pPr>
                        <w:spacing w:after="0" w:line="240" w:lineRule="auto"/>
                        <w:ind w:left="4320" w:right="-1"/>
                        <w:rPr>
                          <w:rFonts w:ascii="Futura Lt BT" w:hAnsi="Futura Lt BT"/>
                          <w:b/>
                          <w:color w:val="595959" w:themeColor="text1" w:themeTint="A6"/>
                          <w:sz w:val="36"/>
                          <w:szCs w:val="60"/>
                          <w:lang w:val="ro-RO"/>
                        </w:rPr>
                      </w:pPr>
                    </w:p>
                    <w:p w:rsidR="001A6FB8" w:rsidRDefault="001A6FB8" w:rsidP="00500A91">
                      <w:pPr>
                        <w:spacing w:after="0" w:line="240" w:lineRule="auto"/>
                        <w:ind w:left="4320" w:right="-1"/>
                        <w:rPr>
                          <w:rFonts w:ascii="Futura Lt BT" w:hAnsi="Futura Lt BT"/>
                          <w:b/>
                          <w:color w:val="595959" w:themeColor="text1" w:themeTint="A6"/>
                          <w:sz w:val="36"/>
                          <w:szCs w:val="60"/>
                          <w:lang w:val="ro-RO"/>
                        </w:rPr>
                      </w:pPr>
                    </w:p>
                    <w:p w:rsidR="001A6FB8" w:rsidRDefault="001A6FB8" w:rsidP="00500A91">
                      <w:pPr>
                        <w:spacing w:after="0" w:line="240" w:lineRule="auto"/>
                        <w:ind w:left="4320" w:right="-1"/>
                        <w:rPr>
                          <w:rFonts w:ascii="Futura Lt BT" w:hAnsi="Futura Lt BT"/>
                          <w:b/>
                          <w:color w:val="595959" w:themeColor="text1" w:themeTint="A6"/>
                          <w:sz w:val="36"/>
                          <w:szCs w:val="60"/>
                          <w:lang w:val="ro-RO"/>
                        </w:rPr>
                      </w:pPr>
                    </w:p>
                    <w:p w:rsidR="001A6FB8" w:rsidRDefault="001A6FB8" w:rsidP="00500A91">
                      <w:pPr>
                        <w:spacing w:after="0" w:line="240" w:lineRule="auto"/>
                        <w:ind w:left="4320" w:right="-1"/>
                        <w:rPr>
                          <w:rFonts w:ascii="Futura Lt BT" w:hAnsi="Futura Lt BT"/>
                          <w:b/>
                          <w:color w:val="595959" w:themeColor="text1" w:themeTint="A6"/>
                          <w:sz w:val="36"/>
                          <w:szCs w:val="60"/>
                          <w:lang w:val="ro-RO"/>
                        </w:rPr>
                      </w:pPr>
                    </w:p>
                    <w:p w:rsidR="001A6FB8" w:rsidRDefault="001A6FB8" w:rsidP="00500A91">
                      <w:pPr>
                        <w:spacing w:after="0" w:line="240" w:lineRule="auto"/>
                        <w:ind w:left="4320" w:right="-1"/>
                        <w:rPr>
                          <w:rFonts w:ascii="Futura Lt BT" w:hAnsi="Futura Lt BT"/>
                          <w:b/>
                          <w:color w:val="595959" w:themeColor="text1" w:themeTint="A6"/>
                          <w:sz w:val="36"/>
                          <w:szCs w:val="60"/>
                          <w:lang w:val="ro-RO"/>
                        </w:rPr>
                      </w:pPr>
                    </w:p>
                    <w:p w:rsidR="001A6FB8" w:rsidRDefault="001A6FB8" w:rsidP="00500A91">
                      <w:pPr>
                        <w:spacing w:after="0" w:line="240" w:lineRule="auto"/>
                        <w:ind w:left="4320" w:right="-1"/>
                        <w:rPr>
                          <w:rFonts w:ascii="Futura Lt BT" w:hAnsi="Futura Lt BT"/>
                          <w:b/>
                          <w:color w:val="595959" w:themeColor="text1" w:themeTint="A6"/>
                          <w:sz w:val="36"/>
                          <w:szCs w:val="60"/>
                          <w:lang w:val="ro-RO"/>
                        </w:rPr>
                      </w:pPr>
                    </w:p>
                    <w:p w:rsidR="001A6FB8" w:rsidRDefault="001A6FB8" w:rsidP="00500A91">
                      <w:pPr>
                        <w:spacing w:after="0" w:line="240" w:lineRule="auto"/>
                        <w:ind w:left="4320" w:right="-1"/>
                        <w:rPr>
                          <w:rFonts w:ascii="Futura Lt BT" w:hAnsi="Futura Lt BT"/>
                          <w:b/>
                          <w:color w:val="595959" w:themeColor="text1" w:themeTint="A6"/>
                          <w:sz w:val="36"/>
                          <w:szCs w:val="60"/>
                          <w:lang w:val="ro-RO"/>
                        </w:rPr>
                      </w:pPr>
                    </w:p>
                    <w:p w:rsidR="001A6FB8" w:rsidRDefault="001A6FB8" w:rsidP="00500A91">
                      <w:pPr>
                        <w:spacing w:after="0" w:line="240" w:lineRule="auto"/>
                        <w:ind w:left="4320" w:right="-1"/>
                        <w:rPr>
                          <w:rFonts w:ascii="Futura Lt BT" w:hAnsi="Futura Lt BT"/>
                          <w:b/>
                          <w:color w:val="595959" w:themeColor="text1" w:themeTint="A6"/>
                          <w:sz w:val="36"/>
                          <w:szCs w:val="60"/>
                          <w:lang w:val="ro-RO"/>
                        </w:rPr>
                      </w:pPr>
                    </w:p>
                    <w:p w:rsidR="001A6FB8" w:rsidRDefault="001A6FB8" w:rsidP="00500A91">
                      <w:pPr>
                        <w:spacing w:after="0" w:line="240" w:lineRule="auto"/>
                        <w:ind w:left="4320" w:right="-1"/>
                        <w:rPr>
                          <w:rFonts w:ascii="Futura Lt BT" w:hAnsi="Futura Lt BT"/>
                          <w:b/>
                          <w:color w:val="595959" w:themeColor="text1" w:themeTint="A6"/>
                          <w:sz w:val="36"/>
                          <w:szCs w:val="60"/>
                          <w:lang w:val="ro-RO"/>
                        </w:rPr>
                      </w:pPr>
                    </w:p>
                    <w:p w:rsidR="001A6FB8" w:rsidRDefault="001A6FB8" w:rsidP="00500A91">
                      <w:pPr>
                        <w:spacing w:after="0" w:line="240" w:lineRule="auto"/>
                        <w:ind w:left="4320" w:right="-1"/>
                        <w:rPr>
                          <w:rFonts w:ascii="Futura Lt BT" w:hAnsi="Futura Lt BT"/>
                          <w:b/>
                          <w:color w:val="595959" w:themeColor="text1" w:themeTint="A6"/>
                          <w:sz w:val="36"/>
                          <w:szCs w:val="60"/>
                          <w:lang w:val="ro-RO"/>
                        </w:rPr>
                      </w:pPr>
                    </w:p>
                    <w:p w:rsidR="001A6FB8" w:rsidRPr="005F2CD3" w:rsidRDefault="001A6FB8" w:rsidP="00500A91">
                      <w:pPr>
                        <w:spacing w:after="0" w:line="240" w:lineRule="auto"/>
                        <w:ind w:left="4320" w:right="-1"/>
                        <w:rPr>
                          <w:rFonts w:ascii="Trebuchet MS" w:hAnsi="Trebuchet MS"/>
                          <w:b/>
                          <w:color w:val="595959" w:themeColor="text1" w:themeTint="A6"/>
                          <w:sz w:val="32"/>
                          <w:szCs w:val="60"/>
                          <w:lang w:val="ro-RO"/>
                        </w:rPr>
                      </w:pPr>
                      <w:r w:rsidRPr="005F2CD3">
                        <w:rPr>
                          <w:rFonts w:ascii="Trebuchet MS" w:hAnsi="Trebuchet MS"/>
                          <w:b/>
                          <w:color w:val="595959" w:themeColor="text1" w:themeTint="A6"/>
                          <w:sz w:val="32"/>
                          <w:szCs w:val="60"/>
                          <w:lang w:val="ro-RO"/>
                        </w:rPr>
                        <w:t>Data:</w:t>
                      </w:r>
                      <w:r>
                        <w:rPr>
                          <w:rFonts w:ascii="Trebuchet MS" w:hAnsi="Trebuchet MS"/>
                          <w:b/>
                          <w:color w:val="595959" w:themeColor="text1" w:themeTint="A6"/>
                          <w:sz w:val="32"/>
                          <w:szCs w:val="60"/>
                          <w:lang w:val="ro-RO"/>
                        </w:rPr>
                        <w:t xml:space="preserve"> 29.03.2021</w:t>
                      </w:r>
                    </w:p>
                    <w:p w:rsidR="001A6FB8" w:rsidRPr="005F2CD3" w:rsidRDefault="001A6FB8" w:rsidP="00500A91">
                      <w:pPr>
                        <w:spacing w:after="0"/>
                        <w:rPr>
                          <w:rFonts w:ascii="Trebuchet MS" w:hAnsi="Trebuchet MS"/>
                          <w:b/>
                          <w:color w:val="595959" w:themeColor="text1" w:themeTint="A6"/>
                          <w:sz w:val="36"/>
                          <w:szCs w:val="60"/>
                          <w:lang w:val="ro-RO"/>
                        </w:rPr>
                      </w:pPr>
                    </w:p>
                    <w:p w:rsidR="001A6FB8" w:rsidRPr="005F2CD3" w:rsidRDefault="001A6FB8" w:rsidP="00500A91">
                      <w:pPr>
                        <w:spacing w:after="0"/>
                        <w:rPr>
                          <w:rFonts w:ascii="Trebuchet MS" w:hAnsi="Trebuchet MS"/>
                          <w:b/>
                          <w:color w:val="595959" w:themeColor="text1" w:themeTint="A6"/>
                          <w:sz w:val="36"/>
                          <w:szCs w:val="60"/>
                          <w:lang w:val="ro-RO"/>
                        </w:rPr>
                      </w:pPr>
                    </w:p>
                    <w:p w:rsidR="001A6FB8" w:rsidRPr="005F2CD3" w:rsidRDefault="001A6FB8" w:rsidP="00500A91">
                      <w:pPr>
                        <w:spacing w:after="0"/>
                        <w:rPr>
                          <w:rFonts w:ascii="Trebuchet MS" w:hAnsi="Trebuchet MS"/>
                          <w:b/>
                          <w:color w:val="595959" w:themeColor="text1" w:themeTint="A6"/>
                          <w:sz w:val="32"/>
                          <w:szCs w:val="60"/>
                          <w:lang w:val="ro-RO"/>
                        </w:rPr>
                      </w:pPr>
                      <w:r w:rsidRPr="005F2CD3">
                        <w:rPr>
                          <w:rFonts w:ascii="Trebuchet MS" w:hAnsi="Trebuchet MS"/>
                          <w:b/>
                          <w:color w:val="595959" w:themeColor="text1" w:themeTint="A6"/>
                          <w:sz w:val="32"/>
                          <w:szCs w:val="60"/>
                          <w:lang w:val="ro-RO"/>
                        </w:rPr>
                        <w:t>Beneficiar:</w:t>
                      </w:r>
                      <w:r>
                        <w:rPr>
                          <w:rFonts w:ascii="Trebuchet MS" w:hAnsi="Trebuchet MS"/>
                          <w:b/>
                          <w:color w:val="595959" w:themeColor="text1" w:themeTint="A6"/>
                          <w:sz w:val="32"/>
                          <w:szCs w:val="60"/>
                          <w:lang w:val="ro-RO"/>
                        </w:rPr>
                        <w:t xml:space="preserve"> OI-T</w:t>
                      </w:r>
                    </w:p>
                    <w:p w:rsidR="001A6FB8" w:rsidRPr="005F2CD3" w:rsidRDefault="001A6FB8" w:rsidP="00500A91">
                      <w:pPr>
                        <w:spacing w:after="0"/>
                        <w:rPr>
                          <w:rFonts w:ascii="Trebuchet MS" w:hAnsi="Trebuchet MS"/>
                          <w:b/>
                          <w:color w:val="595959" w:themeColor="text1" w:themeTint="A6"/>
                          <w:sz w:val="32"/>
                          <w:szCs w:val="60"/>
                          <w:lang w:val="ro-RO"/>
                        </w:rPr>
                      </w:pPr>
                      <w:r w:rsidRPr="005F2CD3">
                        <w:rPr>
                          <w:rFonts w:ascii="Trebuchet MS" w:hAnsi="Trebuchet MS"/>
                          <w:b/>
                          <w:color w:val="595959" w:themeColor="text1" w:themeTint="A6"/>
                          <w:sz w:val="32"/>
                          <w:szCs w:val="60"/>
                          <w:lang w:val="ro-RO"/>
                        </w:rPr>
                        <w:t>Autor:</w:t>
                      </w:r>
                      <w:r>
                        <w:rPr>
                          <w:rFonts w:ascii="Trebuchet MS" w:hAnsi="Trebuchet MS"/>
                          <w:b/>
                          <w:color w:val="595959" w:themeColor="text1" w:themeTint="A6"/>
                          <w:sz w:val="32"/>
                          <w:szCs w:val="60"/>
                          <w:lang w:val="ro-RO"/>
                        </w:rPr>
                        <w:t xml:space="preserve"> Alexis </w:t>
                      </w:r>
                      <w:proofErr w:type="spellStart"/>
                      <w:r>
                        <w:rPr>
                          <w:rFonts w:ascii="Trebuchet MS" w:hAnsi="Trebuchet MS"/>
                          <w:b/>
                          <w:color w:val="595959" w:themeColor="text1" w:themeTint="A6"/>
                          <w:sz w:val="32"/>
                          <w:szCs w:val="60"/>
                          <w:lang w:val="ro-RO"/>
                        </w:rPr>
                        <w:t>Gressier</w:t>
                      </w:r>
                      <w:proofErr w:type="spellEnd"/>
                    </w:p>
                    <w:p w:rsidR="001A6FB8" w:rsidRPr="005F2CD3" w:rsidRDefault="001A6FB8" w:rsidP="00500A91">
                      <w:pPr>
                        <w:jc w:val="center"/>
                        <w:rPr>
                          <w:lang w:val="ro-RO"/>
                        </w:rPr>
                      </w:pPr>
                    </w:p>
                  </w:txbxContent>
                </v:textbox>
              </v:rect>
            </w:pict>
          </mc:Fallback>
        </mc:AlternateContent>
      </w:r>
      <w:r w:rsidR="00FE5918" w:rsidRPr="00330F21">
        <w:rPr>
          <w:rFonts w:ascii="Arial" w:hAnsi="Arial" w:cs="Arial"/>
          <w:b/>
          <w:noProof/>
          <w:sz w:val="28"/>
          <w:szCs w:val="20"/>
          <w:lang w:eastAsia="en-GB"/>
        </w:rPr>
        <w:drawing>
          <wp:anchor distT="0" distB="0" distL="114300" distR="114300" simplePos="0" relativeHeight="251656704" behindDoc="1" locked="1" layoutInCell="1" allowOverlap="1" wp14:anchorId="4637ED6B" wp14:editId="6A9C0D8A">
            <wp:simplePos x="0" y="0"/>
            <wp:positionH relativeFrom="column">
              <wp:posOffset>-83820</wp:posOffset>
            </wp:positionH>
            <wp:positionV relativeFrom="paragraph">
              <wp:posOffset>90805</wp:posOffset>
            </wp:positionV>
            <wp:extent cx="2764790" cy="1295400"/>
            <wp:effectExtent l="0" t="0" r="0" b="0"/>
            <wp:wrapTight wrapText="bothSides">
              <wp:wrapPolygon edited="0">
                <wp:start x="0" y="0"/>
                <wp:lineTo x="0" y="21282"/>
                <wp:lineTo x="21431" y="21282"/>
                <wp:lineTo x="214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B pic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64790" cy="1295400"/>
                    </a:xfrm>
                    <a:prstGeom prst="rect">
                      <a:avLst/>
                    </a:prstGeom>
                  </pic:spPr>
                </pic:pic>
              </a:graphicData>
            </a:graphic>
            <wp14:sizeRelH relativeFrom="page">
              <wp14:pctWidth>0</wp14:pctWidth>
            </wp14:sizeRelH>
            <wp14:sizeRelV relativeFrom="page">
              <wp14:pctHeight>0</wp14:pctHeight>
            </wp14:sizeRelV>
          </wp:anchor>
        </w:drawing>
      </w:r>
    </w:p>
    <w:p w:rsidR="00E3116E" w:rsidRPr="00E3116E" w:rsidRDefault="00E3116E" w:rsidP="00E3116E">
      <w:pPr>
        <w:rPr>
          <w:lang w:val="ro-RO"/>
        </w:rPr>
      </w:pPr>
    </w:p>
    <w:p w:rsidR="00E3116E" w:rsidRDefault="00E3116E" w:rsidP="00E3116E">
      <w:pPr>
        <w:rPr>
          <w:lang w:val="ro-RO"/>
        </w:rPr>
      </w:pPr>
    </w:p>
    <w:p w:rsidR="00E3116E" w:rsidRDefault="00E3116E" w:rsidP="00E3116E">
      <w:pPr>
        <w:ind w:firstLine="720"/>
        <w:rPr>
          <w:lang w:val="ro-RO"/>
        </w:rPr>
      </w:pPr>
    </w:p>
    <w:p w:rsidR="004C70D7" w:rsidRPr="00E3116E" w:rsidRDefault="00E3116E" w:rsidP="00E3116E">
      <w:pPr>
        <w:tabs>
          <w:tab w:val="left" w:pos="810"/>
        </w:tabs>
        <w:rPr>
          <w:lang w:val="ro-RO"/>
        </w:rPr>
        <w:sectPr w:rsidR="004C70D7" w:rsidRPr="00E3116E" w:rsidSect="00E050DF">
          <w:headerReference w:type="default" r:id="rId10"/>
          <w:footerReference w:type="default" r:id="rId11"/>
          <w:headerReference w:type="first" r:id="rId12"/>
          <w:pgSz w:w="11906" w:h="16838"/>
          <w:pgMar w:top="238" w:right="1134" w:bottom="244" w:left="1134" w:header="0" w:footer="709" w:gutter="0"/>
          <w:cols w:space="708"/>
          <w:titlePg/>
          <w:docGrid w:linePitch="360"/>
        </w:sectPr>
      </w:pPr>
      <w:r>
        <w:rPr>
          <w:lang w:val="ro-RO"/>
        </w:rPr>
        <w:tab/>
      </w:r>
    </w:p>
    <w:p w:rsidR="00245523" w:rsidRDefault="00245523" w:rsidP="00F14BFD">
      <w:pPr>
        <w:spacing w:after="0" w:line="240" w:lineRule="auto"/>
        <w:jc w:val="both"/>
        <w:rPr>
          <w:lang w:val="ro-RO"/>
        </w:rPr>
      </w:pPr>
    </w:p>
    <w:sdt>
      <w:sdtPr>
        <w:rPr>
          <w:rFonts w:asciiTheme="minorHAnsi" w:eastAsiaTheme="minorHAnsi" w:hAnsiTheme="minorHAnsi" w:cstheme="minorBidi"/>
          <w:color w:val="auto"/>
          <w:sz w:val="22"/>
          <w:szCs w:val="22"/>
          <w:lang w:val="ro-RO"/>
        </w:rPr>
        <w:id w:val="-9829514"/>
        <w:docPartObj>
          <w:docPartGallery w:val="Table of Contents"/>
          <w:docPartUnique/>
        </w:docPartObj>
      </w:sdtPr>
      <w:sdtEndPr>
        <w:rPr>
          <w:b/>
          <w:bCs/>
          <w:noProof/>
          <w:lang w:val="en-GB"/>
        </w:rPr>
      </w:sdtEndPr>
      <w:sdtContent>
        <w:p w:rsidR="00A32218" w:rsidRPr="00A32218" w:rsidRDefault="00241D3C">
          <w:pPr>
            <w:pStyle w:val="TOCHeading"/>
            <w:rPr>
              <w:lang w:val="ro-RO"/>
            </w:rPr>
          </w:pPr>
          <w:r>
            <w:rPr>
              <w:lang w:val="ro-RO"/>
            </w:rPr>
            <w:t>Cuprins</w:t>
          </w:r>
        </w:p>
        <w:bookmarkStart w:id="0" w:name="_GoBack"/>
        <w:bookmarkEnd w:id="0"/>
        <w:p w:rsidR="00E10437" w:rsidRDefault="00A32218">
          <w:pPr>
            <w:pStyle w:val="TOC1"/>
            <w:tabs>
              <w:tab w:val="left" w:pos="440"/>
              <w:tab w:val="right" w:leader="dot" w:pos="9016"/>
            </w:tabs>
            <w:rPr>
              <w:rFonts w:eastAsiaTheme="minorEastAsia"/>
              <w:noProof/>
              <w:lang w:eastAsia="en-GB"/>
            </w:rPr>
          </w:pPr>
          <w:r>
            <w:rPr>
              <w:b/>
              <w:bCs/>
              <w:noProof/>
            </w:rPr>
            <w:fldChar w:fldCharType="begin"/>
          </w:r>
          <w:r>
            <w:rPr>
              <w:b/>
              <w:bCs/>
              <w:noProof/>
            </w:rPr>
            <w:instrText xml:space="preserve"> TOC \o "1-3" \h \z \u </w:instrText>
          </w:r>
          <w:r>
            <w:rPr>
              <w:b/>
              <w:bCs/>
              <w:noProof/>
            </w:rPr>
            <w:fldChar w:fldCharType="separate"/>
          </w:r>
          <w:hyperlink w:anchor="_Toc68027120" w:history="1">
            <w:r w:rsidR="00E10437" w:rsidRPr="001C3038">
              <w:rPr>
                <w:rStyle w:val="Hyperlink"/>
                <w:noProof/>
                <w:lang w:val="ro-RO"/>
              </w:rPr>
              <w:t>1.</w:t>
            </w:r>
            <w:r w:rsidR="00E10437">
              <w:rPr>
                <w:rFonts w:eastAsiaTheme="minorEastAsia"/>
                <w:noProof/>
                <w:lang w:eastAsia="en-GB"/>
              </w:rPr>
              <w:tab/>
            </w:r>
            <w:r w:rsidR="00E10437" w:rsidRPr="001C3038">
              <w:rPr>
                <w:rStyle w:val="Hyperlink"/>
                <w:noProof/>
                <w:lang w:val="ro-RO"/>
              </w:rPr>
              <w:t>Context/ Introducere</w:t>
            </w:r>
            <w:r w:rsidR="00E10437">
              <w:rPr>
                <w:noProof/>
                <w:webHidden/>
              </w:rPr>
              <w:tab/>
            </w:r>
            <w:r w:rsidR="00E10437">
              <w:rPr>
                <w:noProof/>
                <w:webHidden/>
              </w:rPr>
              <w:fldChar w:fldCharType="begin"/>
            </w:r>
            <w:r w:rsidR="00E10437">
              <w:rPr>
                <w:noProof/>
                <w:webHidden/>
              </w:rPr>
              <w:instrText xml:space="preserve"> PAGEREF _Toc68027120 \h </w:instrText>
            </w:r>
            <w:r w:rsidR="00E10437">
              <w:rPr>
                <w:noProof/>
                <w:webHidden/>
              </w:rPr>
            </w:r>
            <w:r w:rsidR="00E10437">
              <w:rPr>
                <w:noProof/>
                <w:webHidden/>
              </w:rPr>
              <w:fldChar w:fldCharType="separate"/>
            </w:r>
            <w:r w:rsidR="00E10437">
              <w:rPr>
                <w:noProof/>
                <w:webHidden/>
              </w:rPr>
              <w:t>3</w:t>
            </w:r>
            <w:r w:rsidR="00E10437">
              <w:rPr>
                <w:noProof/>
                <w:webHidden/>
              </w:rPr>
              <w:fldChar w:fldCharType="end"/>
            </w:r>
          </w:hyperlink>
        </w:p>
        <w:p w:rsidR="00E10437" w:rsidRDefault="00E10437">
          <w:pPr>
            <w:pStyle w:val="TOC1"/>
            <w:tabs>
              <w:tab w:val="left" w:pos="440"/>
              <w:tab w:val="right" w:leader="dot" w:pos="9016"/>
            </w:tabs>
            <w:rPr>
              <w:rFonts w:eastAsiaTheme="minorEastAsia"/>
              <w:noProof/>
              <w:lang w:eastAsia="en-GB"/>
            </w:rPr>
          </w:pPr>
          <w:hyperlink w:anchor="_Toc68027121" w:history="1">
            <w:r w:rsidRPr="001C3038">
              <w:rPr>
                <w:rStyle w:val="Hyperlink"/>
                <w:noProof/>
                <w:lang w:val="ro-RO"/>
              </w:rPr>
              <w:t>2.</w:t>
            </w:r>
            <w:r>
              <w:rPr>
                <w:rFonts w:eastAsiaTheme="minorEastAsia"/>
                <w:noProof/>
                <w:lang w:eastAsia="en-GB"/>
              </w:rPr>
              <w:tab/>
            </w:r>
            <w:r w:rsidRPr="001C3038">
              <w:rPr>
                <w:rStyle w:val="Hyperlink"/>
                <w:noProof/>
                <w:lang w:val="ro-RO"/>
              </w:rPr>
              <w:t>Flotă și cota parte de vehicule electrice</w:t>
            </w:r>
            <w:r>
              <w:rPr>
                <w:noProof/>
                <w:webHidden/>
              </w:rPr>
              <w:tab/>
            </w:r>
            <w:r>
              <w:rPr>
                <w:noProof/>
                <w:webHidden/>
              </w:rPr>
              <w:fldChar w:fldCharType="begin"/>
            </w:r>
            <w:r>
              <w:rPr>
                <w:noProof/>
                <w:webHidden/>
              </w:rPr>
              <w:instrText xml:space="preserve"> PAGEREF _Toc68027121 \h </w:instrText>
            </w:r>
            <w:r>
              <w:rPr>
                <w:noProof/>
                <w:webHidden/>
              </w:rPr>
            </w:r>
            <w:r>
              <w:rPr>
                <w:noProof/>
                <w:webHidden/>
              </w:rPr>
              <w:fldChar w:fldCharType="separate"/>
            </w:r>
            <w:r>
              <w:rPr>
                <w:noProof/>
                <w:webHidden/>
              </w:rPr>
              <w:t>3</w:t>
            </w:r>
            <w:r>
              <w:rPr>
                <w:noProof/>
                <w:webHidden/>
              </w:rPr>
              <w:fldChar w:fldCharType="end"/>
            </w:r>
          </w:hyperlink>
        </w:p>
        <w:p w:rsidR="00E10437" w:rsidRDefault="00E10437">
          <w:pPr>
            <w:pStyle w:val="TOC1"/>
            <w:tabs>
              <w:tab w:val="left" w:pos="440"/>
              <w:tab w:val="right" w:leader="dot" w:pos="9016"/>
            </w:tabs>
            <w:rPr>
              <w:rFonts w:eastAsiaTheme="minorEastAsia"/>
              <w:noProof/>
              <w:lang w:eastAsia="en-GB"/>
            </w:rPr>
          </w:pPr>
          <w:hyperlink w:anchor="_Toc68027122" w:history="1">
            <w:r w:rsidRPr="001C3038">
              <w:rPr>
                <w:rStyle w:val="Hyperlink"/>
                <w:noProof/>
                <w:lang w:val="ro-RO"/>
              </w:rPr>
              <w:t>3.</w:t>
            </w:r>
            <w:r>
              <w:rPr>
                <w:rFonts w:eastAsiaTheme="minorEastAsia"/>
                <w:noProof/>
                <w:lang w:eastAsia="en-GB"/>
              </w:rPr>
              <w:tab/>
            </w:r>
            <w:r w:rsidRPr="001C3038">
              <w:rPr>
                <w:rStyle w:val="Hyperlink"/>
                <w:noProof/>
                <w:lang w:val="ro-RO"/>
              </w:rPr>
              <w:t>Costurile de exploatare a vehiculelor</w:t>
            </w:r>
            <w:r>
              <w:rPr>
                <w:noProof/>
                <w:webHidden/>
              </w:rPr>
              <w:tab/>
            </w:r>
            <w:r>
              <w:rPr>
                <w:noProof/>
                <w:webHidden/>
              </w:rPr>
              <w:fldChar w:fldCharType="begin"/>
            </w:r>
            <w:r>
              <w:rPr>
                <w:noProof/>
                <w:webHidden/>
              </w:rPr>
              <w:instrText xml:space="preserve"> PAGEREF _Toc68027122 \h </w:instrText>
            </w:r>
            <w:r>
              <w:rPr>
                <w:noProof/>
                <w:webHidden/>
              </w:rPr>
            </w:r>
            <w:r>
              <w:rPr>
                <w:noProof/>
                <w:webHidden/>
              </w:rPr>
              <w:fldChar w:fldCharType="separate"/>
            </w:r>
            <w:r>
              <w:rPr>
                <w:noProof/>
                <w:webHidden/>
              </w:rPr>
              <w:t>3</w:t>
            </w:r>
            <w:r>
              <w:rPr>
                <w:noProof/>
                <w:webHidden/>
              </w:rPr>
              <w:fldChar w:fldCharType="end"/>
            </w:r>
          </w:hyperlink>
        </w:p>
        <w:p w:rsidR="00E10437" w:rsidRDefault="00E10437">
          <w:pPr>
            <w:pStyle w:val="TOC1"/>
            <w:tabs>
              <w:tab w:val="left" w:pos="440"/>
              <w:tab w:val="right" w:leader="dot" w:pos="9016"/>
            </w:tabs>
            <w:rPr>
              <w:rFonts w:eastAsiaTheme="minorEastAsia"/>
              <w:noProof/>
              <w:lang w:eastAsia="en-GB"/>
            </w:rPr>
          </w:pPr>
          <w:hyperlink w:anchor="_Toc68027123" w:history="1">
            <w:r w:rsidRPr="001C3038">
              <w:rPr>
                <w:rStyle w:val="Hyperlink"/>
                <w:noProof/>
                <w:lang w:val="ro-RO"/>
              </w:rPr>
              <w:t>4.</w:t>
            </w:r>
            <w:r>
              <w:rPr>
                <w:rFonts w:eastAsiaTheme="minorEastAsia"/>
                <w:noProof/>
                <w:lang w:eastAsia="en-GB"/>
              </w:rPr>
              <w:tab/>
            </w:r>
            <w:r w:rsidRPr="001C3038">
              <w:rPr>
                <w:rStyle w:val="Hyperlink"/>
                <w:noProof/>
                <w:lang w:val="ro-RO"/>
              </w:rPr>
              <w:t>Emisii de CO2 și de poluanți ai aerului</w:t>
            </w:r>
            <w:r>
              <w:rPr>
                <w:noProof/>
                <w:webHidden/>
              </w:rPr>
              <w:tab/>
            </w:r>
            <w:r>
              <w:rPr>
                <w:noProof/>
                <w:webHidden/>
              </w:rPr>
              <w:fldChar w:fldCharType="begin"/>
            </w:r>
            <w:r>
              <w:rPr>
                <w:noProof/>
                <w:webHidden/>
              </w:rPr>
              <w:instrText xml:space="preserve"> PAGEREF _Toc68027123 \h </w:instrText>
            </w:r>
            <w:r>
              <w:rPr>
                <w:noProof/>
                <w:webHidden/>
              </w:rPr>
            </w:r>
            <w:r>
              <w:rPr>
                <w:noProof/>
                <w:webHidden/>
              </w:rPr>
              <w:fldChar w:fldCharType="separate"/>
            </w:r>
            <w:r>
              <w:rPr>
                <w:noProof/>
                <w:webHidden/>
              </w:rPr>
              <w:t>4</w:t>
            </w:r>
            <w:r>
              <w:rPr>
                <w:noProof/>
                <w:webHidden/>
              </w:rPr>
              <w:fldChar w:fldCharType="end"/>
            </w:r>
          </w:hyperlink>
        </w:p>
        <w:p w:rsidR="00A32218" w:rsidRDefault="00A32218">
          <w:r>
            <w:rPr>
              <w:b/>
              <w:bCs/>
              <w:noProof/>
            </w:rPr>
            <w:fldChar w:fldCharType="end"/>
          </w:r>
        </w:p>
      </w:sdtContent>
    </w:sdt>
    <w:p w:rsidR="009C0B5D" w:rsidRDefault="009C0B5D" w:rsidP="00F14BFD">
      <w:pPr>
        <w:spacing w:after="0" w:line="240" w:lineRule="auto"/>
        <w:jc w:val="both"/>
        <w:rPr>
          <w:lang w:val="ro-RO"/>
        </w:rPr>
        <w:sectPr w:rsidR="009C0B5D">
          <w:headerReference w:type="even" r:id="rId13"/>
          <w:headerReference w:type="default" r:id="rId14"/>
          <w:headerReference w:type="first" r:id="rId15"/>
          <w:pgSz w:w="11906" w:h="16838"/>
          <w:pgMar w:top="1440" w:right="1440" w:bottom="1440" w:left="1440" w:header="708" w:footer="708" w:gutter="0"/>
          <w:cols w:space="708"/>
          <w:docGrid w:linePitch="360"/>
        </w:sectPr>
      </w:pPr>
    </w:p>
    <w:p w:rsidR="00245523" w:rsidRDefault="009C0B5D" w:rsidP="009C0B5D">
      <w:pPr>
        <w:pStyle w:val="Heading1"/>
        <w:numPr>
          <w:ilvl w:val="0"/>
          <w:numId w:val="4"/>
        </w:numPr>
        <w:rPr>
          <w:lang w:val="ro-RO"/>
        </w:rPr>
      </w:pPr>
      <w:bookmarkStart w:id="1" w:name="_Toc68027120"/>
      <w:r>
        <w:rPr>
          <w:lang w:val="ro-RO"/>
        </w:rPr>
        <w:lastRenderedPageBreak/>
        <w:t>Context/ Introduc</w:t>
      </w:r>
      <w:r w:rsidR="004A6231">
        <w:rPr>
          <w:lang w:val="ro-RO"/>
        </w:rPr>
        <w:t>ere</w:t>
      </w:r>
      <w:bookmarkEnd w:id="1"/>
    </w:p>
    <w:p w:rsidR="00FE5918" w:rsidRDefault="00D37D5D" w:rsidP="00B43815">
      <w:pPr>
        <w:jc w:val="both"/>
        <w:rPr>
          <w:lang w:val="ro-RO"/>
        </w:rPr>
      </w:pPr>
      <w:r w:rsidRPr="007361ED">
        <w:rPr>
          <w:lang w:val="ro-RO"/>
        </w:rPr>
        <w:t xml:space="preserve">Prezentul document </w:t>
      </w:r>
      <w:r w:rsidR="007361ED" w:rsidRPr="007361ED">
        <w:rPr>
          <w:lang w:val="ro-RO"/>
        </w:rPr>
        <w:t xml:space="preserve">are ca scop </w:t>
      </w:r>
      <w:r w:rsidR="007361ED">
        <w:rPr>
          <w:lang w:val="ro-RO"/>
        </w:rPr>
        <w:t>să prezinte modul de abordare pentru introducerea vehiculelor electrice în analize cost-beneficiu rutiere.</w:t>
      </w:r>
    </w:p>
    <w:p w:rsidR="00817918" w:rsidRDefault="007361ED" w:rsidP="00FE5918">
      <w:pPr>
        <w:pStyle w:val="Heading1"/>
        <w:numPr>
          <w:ilvl w:val="0"/>
          <w:numId w:val="4"/>
        </w:numPr>
        <w:rPr>
          <w:lang w:val="ro-RO"/>
        </w:rPr>
      </w:pPr>
      <w:bookmarkStart w:id="2" w:name="_Toc68027121"/>
      <w:r>
        <w:rPr>
          <w:lang w:val="ro-RO"/>
        </w:rPr>
        <w:t>F</w:t>
      </w:r>
      <w:r w:rsidR="00946AF2">
        <w:rPr>
          <w:lang w:val="ro-RO"/>
        </w:rPr>
        <w:t>lotă și cota parte de vehicule electrice</w:t>
      </w:r>
      <w:bookmarkEnd w:id="2"/>
    </w:p>
    <w:p w:rsidR="00FE5918" w:rsidRDefault="00946AF2" w:rsidP="00B43815">
      <w:pPr>
        <w:rPr>
          <w:lang w:val="ro-RO"/>
        </w:rPr>
      </w:pPr>
      <w:r>
        <w:rPr>
          <w:lang w:val="ro-RO"/>
        </w:rPr>
        <w:t>Analizele cost-beneficiu rutiere se concentrează pe traficul interurban. Astfel, ceea ce este relevant este flota care participă la acest trafic interurban.</w:t>
      </w:r>
    </w:p>
    <w:p w:rsidR="00946AF2" w:rsidRDefault="00946AF2" w:rsidP="00946AF2">
      <w:pPr>
        <w:jc w:val="both"/>
        <w:rPr>
          <w:lang w:val="ro-RO"/>
        </w:rPr>
      </w:pPr>
      <w:r>
        <w:rPr>
          <w:lang w:val="ro-RO"/>
        </w:rPr>
        <w:t>În consecință, se vor considera doar autoturismele electrice. Pentru celelalte categorii de vehicule, nu există în momentul de față alternative electrice viabile în interurban iar celelalte vehicule electrice existente (cum ar fi autobuze) sunt în principal destinate transportului urban.</w:t>
      </w:r>
    </w:p>
    <w:p w:rsidR="00946AF2" w:rsidRDefault="00946AF2" w:rsidP="00946AF2">
      <w:pPr>
        <w:jc w:val="both"/>
        <w:rPr>
          <w:lang w:val="ro-RO"/>
        </w:rPr>
      </w:pPr>
      <w:r>
        <w:rPr>
          <w:lang w:val="ro-RO"/>
        </w:rPr>
        <w:t>Evoluția parcului de autoturisme, din care cota parte a autoturismelor electrice, a fost prognozată într-un document separat.</w:t>
      </w:r>
    </w:p>
    <w:p w:rsidR="007C287E" w:rsidRDefault="007C287E" w:rsidP="00946AF2">
      <w:pPr>
        <w:jc w:val="both"/>
        <w:rPr>
          <w:lang w:val="ro-RO"/>
        </w:rPr>
      </w:pPr>
      <w:r>
        <w:rPr>
          <w:lang w:val="ro-RO"/>
        </w:rPr>
        <w:t>Vehiculele electrice necesită un tratament diferit de celelalte vehicule în raport cu 3 componente majore: costurile de exploatare a vehiculelor, emisiile de CO2 și emisiile de poluanți ai aerului.</w:t>
      </w:r>
    </w:p>
    <w:p w:rsidR="00082F7C" w:rsidRDefault="00946AF2" w:rsidP="00082F7C">
      <w:pPr>
        <w:pStyle w:val="Heading1"/>
        <w:numPr>
          <w:ilvl w:val="0"/>
          <w:numId w:val="4"/>
        </w:numPr>
        <w:rPr>
          <w:lang w:val="ro-RO"/>
        </w:rPr>
      </w:pPr>
      <w:bookmarkStart w:id="3" w:name="_Toc68027122"/>
      <w:r>
        <w:rPr>
          <w:lang w:val="ro-RO"/>
        </w:rPr>
        <w:t>Costurile de exploatare a vehiculelor</w:t>
      </w:r>
      <w:bookmarkEnd w:id="3"/>
    </w:p>
    <w:p w:rsidR="00B43815" w:rsidRDefault="007C287E" w:rsidP="00B43815">
      <w:pPr>
        <w:jc w:val="both"/>
        <w:rPr>
          <w:lang w:val="ro-RO"/>
        </w:rPr>
      </w:pPr>
      <w:r>
        <w:rPr>
          <w:lang w:val="ro-RO"/>
        </w:rPr>
        <w:t>Conform metodologiei din Master Planul General de Transporturi, costurile de exploatare a vehiculelor au două componente:</w:t>
      </w:r>
    </w:p>
    <w:p w:rsidR="007C287E" w:rsidRPr="00E27E1E" w:rsidRDefault="007C287E" w:rsidP="007C287E">
      <w:pPr>
        <w:pStyle w:val="ListParagraph"/>
        <w:numPr>
          <w:ilvl w:val="0"/>
          <w:numId w:val="6"/>
        </w:numPr>
        <w:jc w:val="both"/>
        <w:rPr>
          <w:lang w:val="ro-RO"/>
        </w:rPr>
      </w:pPr>
      <w:r w:rsidRPr="00E27E1E">
        <w:rPr>
          <w:lang w:val="ro-RO"/>
        </w:rPr>
        <w:t xml:space="preserve">Costul legat de </w:t>
      </w:r>
      <w:r w:rsidR="00E27E1E" w:rsidRPr="00E27E1E">
        <w:rPr>
          <w:lang w:val="ro-RO"/>
        </w:rPr>
        <w:t xml:space="preserve">combustibil, și </w:t>
      </w:r>
    </w:p>
    <w:p w:rsidR="00E27E1E" w:rsidRDefault="00E27E1E" w:rsidP="007C287E">
      <w:pPr>
        <w:pStyle w:val="ListParagraph"/>
        <w:numPr>
          <w:ilvl w:val="0"/>
          <w:numId w:val="6"/>
        </w:numPr>
        <w:jc w:val="both"/>
        <w:rPr>
          <w:lang w:val="ro-RO"/>
        </w:rPr>
      </w:pPr>
      <w:r>
        <w:rPr>
          <w:lang w:val="ro-RO"/>
        </w:rPr>
        <w:t>Alte costuri inclusiv amortizare, etc.</w:t>
      </w:r>
    </w:p>
    <w:p w:rsidR="00E27E1E" w:rsidRDefault="00E27E1E" w:rsidP="00E27E1E">
      <w:pPr>
        <w:jc w:val="both"/>
        <w:rPr>
          <w:lang w:val="ro-RO"/>
        </w:rPr>
      </w:pPr>
      <w:r>
        <w:rPr>
          <w:lang w:val="ro-RO"/>
        </w:rPr>
        <w:t xml:space="preserve">Pentru vehicule electrice, doar partea aferentă costului legat de </w:t>
      </w:r>
      <w:r w:rsidR="00A65D37">
        <w:rPr>
          <w:lang w:val="ro-RO"/>
        </w:rPr>
        <w:t xml:space="preserve">consumul de </w:t>
      </w:r>
      <w:r>
        <w:rPr>
          <w:lang w:val="ro-RO"/>
        </w:rPr>
        <w:t>combustibil va fi modificată.</w:t>
      </w:r>
    </w:p>
    <w:p w:rsidR="00461BEE" w:rsidRDefault="00A65D37" w:rsidP="00E27E1E">
      <w:pPr>
        <w:jc w:val="both"/>
        <w:rPr>
          <w:lang w:val="ro-RO"/>
        </w:rPr>
      </w:pPr>
      <w:r>
        <w:rPr>
          <w:lang w:val="ro-RO"/>
        </w:rPr>
        <w:t>Spre deosebire de vehicule cu motoare cu combustie internă, se pare că viteza nu este un factor determinant în consumul de electricitate. Fișierele TAG</w:t>
      </w:r>
      <w:r>
        <w:rPr>
          <w:rStyle w:val="FootnoteReference"/>
          <w:lang w:val="ro-RO"/>
        </w:rPr>
        <w:footnoteReference w:id="1"/>
      </w:r>
      <w:r>
        <w:rPr>
          <w:lang w:val="ro-RO"/>
        </w:rPr>
        <w:t xml:space="preserve"> din Marea Britanie indică un singur tip de consum, valabil pentru toate vitezele, respectiv 150 W</w:t>
      </w:r>
      <w:r w:rsidR="00461BEE">
        <w:rPr>
          <w:lang w:val="ro-RO"/>
        </w:rPr>
        <w:t>h pe</w:t>
      </w:r>
      <w:r>
        <w:rPr>
          <w:lang w:val="ro-RO"/>
        </w:rPr>
        <w:t xml:space="preserve"> km.</w:t>
      </w:r>
      <w:r w:rsidR="00461BEE">
        <w:rPr>
          <w:lang w:val="ro-RO"/>
        </w:rPr>
        <w:t xml:space="preserve"> Alte date disponibile pe Internet arată o medie de 196 Wh pe km</w:t>
      </w:r>
      <w:r w:rsidR="00461BEE">
        <w:rPr>
          <w:rStyle w:val="FootnoteReference"/>
          <w:lang w:val="ro-RO"/>
        </w:rPr>
        <w:footnoteReference w:id="2"/>
      </w:r>
      <w:r w:rsidR="00461BEE">
        <w:rPr>
          <w:lang w:val="ro-RO"/>
        </w:rPr>
        <w:t>.</w:t>
      </w:r>
    </w:p>
    <w:p w:rsidR="00461BEE" w:rsidRDefault="00461BEE" w:rsidP="00E27E1E">
      <w:pPr>
        <w:jc w:val="both"/>
        <w:rPr>
          <w:lang w:val="ro-RO"/>
        </w:rPr>
      </w:pPr>
      <w:r>
        <w:rPr>
          <w:lang w:val="ro-RO"/>
        </w:rPr>
        <w:t>Se propune a fi folosită valoarea de 196 Wh/km.</w:t>
      </w:r>
    </w:p>
    <w:p w:rsidR="00461BEE" w:rsidRDefault="00461BEE" w:rsidP="00E27E1E">
      <w:pPr>
        <w:jc w:val="both"/>
        <w:rPr>
          <w:lang w:val="ro-RO"/>
        </w:rPr>
      </w:pPr>
      <w:r>
        <w:rPr>
          <w:lang w:val="ro-RO"/>
        </w:rPr>
        <w:t>A doua problemă este costul energiei electrice. În România, pentru consumul casnic, costul este de aproximativ 0,6 – 0,8 Lei/kWh. Însă, cel puțin în ceea ce privește traficul interurban, este relevant și costul practicat la stații publice de încărcare. La aceste stații, costurile și practicile comerciale sunt extrem de diferite, după cum este  arătat mai jos</w:t>
      </w:r>
      <w:r>
        <w:rPr>
          <w:rStyle w:val="FootnoteReference"/>
          <w:lang w:val="ro-RO"/>
        </w:rPr>
        <w:footnoteReference w:id="3"/>
      </w:r>
      <w:r>
        <w:rPr>
          <w:lang w:val="ro-RO"/>
        </w:rPr>
        <w:t>:</w:t>
      </w:r>
    </w:p>
    <w:p w:rsidR="00461BEE" w:rsidRPr="00461BEE" w:rsidRDefault="00461BEE" w:rsidP="00461BEE">
      <w:pPr>
        <w:pStyle w:val="ListParagraph"/>
        <w:numPr>
          <w:ilvl w:val="0"/>
          <w:numId w:val="6"/>
        </w:numPr>
        <w:jc w:val="both"/>
        <w:rPr>
          <w:lang w:val="ro-RO"/>
        </w:rPr>
      </w:pPr>
      <w:r w:rsidRPr="00461BEE">
        <w:rPr>
          <w:lang w:val="ro-RO"/>
        </w:rPr>
        <w:t>1 kWh acasă poate costa circa 0,6-0,8 Lei (puterea de încărcare fiind de regulă în jurul a 2,5 kW la o priză convențională).</w:t>
      </w:r>
    </w:p>
    <w:p w:rsidR="00461BEE" w:rsidRPr="00461BEE" w:rsidRDefault="00461BEE" w:rsidP="00461BEE">
      <w:pPr>
        <w:pStyle w:val="ListParagraph"/>
        <w:numPr>
          <w:ilvl w:val="0"/>
          <w:numId w:val="6"/>
        </w:numPr>
        <w:jc w:val="both"/>
        <w:rPr>
          <w:lang w:val="ro-RO"/>
        </w:rPr>
      </w:pPr>
      <w:r w:rsidRPr="00461BEE">
        <w:rPr>
          <w:lang w:val="ro-RO"/>
        </w:rPr>
        <w:t>1 kWh la stațiile de încărcare semi-rapide (de regulă putere maximă 22 kW) poate costa între 0,64 Lei și 1,45 Lei.</w:t>
      </w:r>
    </w:p>
    <w:p w:rsidR="00461BEE" w:rsidRPr="00461BEE" w:rsidRDefault="00461BEE" w:rsidP="00461BEE">
      <w:pPr>
        <w:pStyle w:val="ListParagraph"/>
        <w:numPr>
          <w:ilvl w:val="0"/>
          <w:numId w:val="6"/>
        </w:numPr>
        <w:jc w:val="both"/>
        <w:rPr>
          <w:lang w:val="ro-RO"/>
        </w:rPr>
      </w:pPr>
      <w:r w:rsidRPr="00461BEE">
        <w:rPr>
          <w:lang w:val="ro-RO"/>
        </w:rPr>
        <w:t>1 kWh la stațiile care asigură încărcare rapidă (de regulă putere 50 kW sau mai mult) poate costa 1 Leu până la 2 Lei.</w:t>
      </w:r>
    </w:p>
    <w:p w:rsidR="00461BEE" w:rsidRDefault="00461BEE" w:rsidP="00E27E1E">
      <w:pPr>
        <w:jc w:val="both"/>
        <w:rPr>
          <w:lang w:val="ro-RO"/>
        </w:rPr>
      </w:pPr>
      <w:r>
        <w:rPr>
          <w:lang w:val="ro-RO"/>
        </w:rPr>
        <w:lastRenderedPageBreak/>
        <w:t>Din cele de mai sus, apare rezonabil să considerăm un preț mediu de 1 lei pe kWh.</w:t>
      </w:r>
    </w:p>
    <w:p w:rsidR="00461BEE" w:rsidRDefault="00FC7DCB" w:rsidP="00E27E1E">
      <w:pPr>
        <w:jc w:val="both"/>
        <w:rPr>
          <w:lang w:val="ro-RO"/>
        </w:rPr>
      </w:pPr>
      <w:r>
        <w:rPr>
          <w:lang w:val="ro-RO"/>
        </w:rPr>
        <w:t xml:space="preserve">Prețul energiei electrice cuprinde mai multe componente de tip taxe / accize, după cum urmează: </w:t>
      </w:r>
    </w:p>
    <w:p w:rsidR="00FC7DCB" w:rsidRDefault="00FC7DCB" w:rsidP="00FC7DCB">
      <w:pPr>
        <w:pStyle w:val="ListParagraph"/>
        <w:numPr>
          <w:ilvl w:val="0"/>
          <w:numId w:val="6"/>
        </w:numPr>
        <w:jc w:val="both"/>
        <w:rPr>
          <w:lang w:val="ro-RO"/>
        </w:rPr>
      </w:pPr>
      <w:r>
        <w:rPr>
          <w:lang w:val="ro-RO"/>
        </w:rPr>
        <w:t>Certificate verzi, în jur de 0,03 lei pe kWh</w:t>
      </w:r>
    </w:p>
    <w:p w:rsidR="00FC7DCB" w:rsidRDefault="00FC7DCB" w:rsidP="00FC7DCB">
      <w:pPr>
        <w:pStyle w:val="ListParagraph"/>
        <w:numPr>
          <w:ilvl w:val="0"/>
          <w:numId w:val="6"/>
        </w:numPr>
        <w:jc w:val="both"/>
        <w:rPr>
          <w:lang w:val="ro-RO"/>
        </w:rPr>
      </w:pPr>
      <w:r>
        <w:rPr>
          <w:lang w:val="ro-RO"/>
        </w:rPr>
        <w:t>Accize, în jur de 0,0024 lei pe kWh</w:t>
      </w:r>
    </w:p>
    <w:p w:rsidR="00FC7DCB" w:rsidRDefault="00FC7DCB" w:rsidP="00FC7DCB">
      <w:pPr>
        <w:pStyle w:val="ListParagraph"/>
        <w:numPr>
          <w:ilvl w:val="0"/>
          <w:numId w:val="6"/>
        </w:numPr>
        <w:jc w:val="both"/>
        <w:rPr>
          <w:lang w:val="ro-RO"/>
        </w:rPr>
      </w:pPr>
      <w:r>
        <w:rPr>
          <w:lang w:val="ro-RO"/>
        </w:rPr>
        <w:t>Contribuție pentru cogenerare de înaltă eficiență, în jur de 0,01 lei / kWh, și</w:t>
      </w:r>
    </w:p>
    <w:p w:rsidR="00FC7DCB" w:rsidRDefault="00FC7DCB" w:rsidP="00FC7DCB">
      <w:pPr>
        <w:pStyle w:val="ListParagraph"/>
        <w:numPr>
          <w:ilvl w:val="0"/>
          <w:numId w:val="6"/>
        </w:numPr>
        <w:jc w:val="both"/>
        <w:rPr>
          <w:lang w:val="ro-RO"/>
        </w:rPr>
      </w:pPr>
      <w:r>
        <w:rPr>
          <w:lang w:val="ro-RO"/>
        </w:rPr>
        <w:t>TVA</w:t>
      </w:r>
      <w:r w:rsidR="002A46E5">
        <w:rPr>
          <w:lang w:val="ro-RO"/>
        </w:rPr>
        <w:t xml:space="preserve"> (19%).</w:t>
      </w:r>
    </w:p>
    <w:p w:rsidR="002A46E5" w:rsidRDefault="002A46E5" w:rsidP="002A46E5">
      <w:pPr>
        <w:jc w:val="both"/>
        <w:rPr>
          <w:lang w:val="ro-RO"/>
        </w:rPr>
      </w:pPr>
      <w:r>
        <w:rPr>
          <w:lang w:val="ro-RO"/>
        </w:rPr>
        <w:t>După cum se poate constata, primele trei componente au o valoare extrem de redusă ca parte a prețului final.</w:t>
      </w:r>
    </w:p>
    <w:p w:rsidR="002A46E5" w:rsidRDefault="002A46E5" w:rsidP="002A46E5">
      <w:pPr>
        <w:jc w:val="both"/>
        <w:rPr>
          <w:lang w:val="ro-RO"/>
        </w:rPr>
      </w:pPr>
      <w:r>
        <w:rPr>
          <w:lang w:val="ro-RO"/>
        </w:rPr>
        <w:t>De asemenea, prețul include profitul variaților agenți economici implicați.</w:t>
      </w:r>
    </w:p>
    <w:p w:rsidR="002A46E5" w:rsidRDefault="002A46E5" w:rsidP="002A46E5">
      <w:pPr>
        <w:jc w:val="both"/>
        <w:rPr>
          <w:lang w:val="ro-RO"/>
        </w:rPr>
      </w:pPr>
      <w:r>
        <w:rPr>
          <w:lang w:val="ro-RO"/>
        </w:rPr>
        <w:t>Pentru a transforma prețul practicat într-un cost economic, este propus a corecta prețul cu 25% care include TVA și profit. Astfel, costul economic ar fi de 0,75 lei / kWh respectiv 0,15 Euro / kWh.</w:t>
      </w:r>
    </w:p>
    <w:p w:rsidR="004164EE" w:rsidRDefault="004164EE" w:rsidP="002A46E5">
      <w:pPr>
        <w:jc w:val="both"/>
        <w:rPr>
          <w:lang w:val="ro-RO"/>
        </w:rPr>
      </w:pPr>
      <w:r>
        <w:rPr>
          <w:lang w:val="ro-RO"/>
        </w:rPr>
        <w:t>În ceea ce privește evoluția costului electricității pe termen lung, nu există date certe. Costul generării din resurse fosile este așteptat a crește treptat pe când costul generării din resurse regenerabile este așteptat a continua trendul său descendent.</w:t>
      </w:r>
      <w:r w:rsidR="000600C1">
        <w:rPr>
          <w:lang w:val="ro-RO"/>
        </w:rPr>
        <w:t xml:space="preserve"> Astfel, se propune menținerea costului de 0,15 Euro / kWh pe întreaga perioadă de analiză.</w:t>
      </w:r>
    </w:p>
    <w:p w:rsidR="000600C1" w:rsidRDefault="000600C1" w:rsidP="000600C1">
      <w:pPr>
        <w:pStyle w:val="Heading1"/>
        <w:numPr>
          <w:ilvl w:val="0"/>
          <w:numId w:val="4"/>
        </w:numPr>
        <w:rPr>
          <w:lang w:val="ro-RO"/>
        </w:rPr>
      </w:pPr>
      <w:bookmarkStart w:id="4" w:name="_Toc68027123"/>
      <w:r>
        <w:rPr>
          <w:lang w:val="ro-RO"/>
        </w:rPr>
        <w:t>Emisii de CO2 și de poluanți ai aerului</w:t>
      </w:r>
      <w:bookmarkEnd w:id="4"/>
    </w:p>
    <w:p w:rsidR="000600C1" w:rsidRDefault="00B034F6" w:rsidP="002A46E5">
      <w:pPr>
        <w:jc w:val="both"/>
        <w:rPr>
          <w:lang w:val="ro-RO"/>
        </w:rPr>
      </w:pPr>
      <w:r>
        <w:rPr>
          <w:lang w:val="en-US"/>
        </w:rPr>
        <w:t>Exist</w:t>
      </w:r>
      <w:r>
        <w:rPr>
          <w:lang w:val="ro-RO"/>
        </w:rPr>
        <w:t xml:space="preserve">ă puține date publice și accesibile privind emisiile generate de </w:t>
      </w:r>
      <w:proofErr w:type="spellStart"/>
      <w:r>
        <w:rPr>
          <w:lang w:val="ro-RO"/>
        </w:rPr>
        <w:t>mixul</w:t>
      </w:r>
      <w:proofErr w:type="spellEnd"/>
      <w:r>
        <w:rPr>
          <w:lang w:val="ro-RO"/>
        </w:rPr>
        <w:t xml:space="preserve"> energetic din România.</w:t>
      </w:r>
    </w:p>
    <w:p w:rsidR="00722BCA" w:rsidRDefault="00722BCA" w:rsidP="002A46E5">
      <w:pPr>
        <w:jc w:val="both"/>
        <w:rPr>
          <w:lang w:val="ro-RO"/>
        </w:rPr>
      </w:pPr>
      <w:r>
        <w:rPr>
          <w:lang w:val="ro-RO"/>
        </w:rPr>
        <w:t>Date</w:t>
      </w:r>
      <w:r w:rsidR="00562EA2">
        <w:rPr>
          <w:lang w:val="ro-RO"/>
        </w:rPr>
        <w:t>le</w:t>
      </w:r>
      <w:r>
        <w:rPr>
          <w:lang w:val="ro-RO"/>
        </w:rPr>
        <w:t xml:space="preserve"> ANRE</w:t>
      </w:r>
      <w:r w:rsidR="00C22B7B">
        <w:rPr>
          <w:rStyle w:val="FootnoteReference"/>
          <w:lang w:val="ro-RO"/>
        </w:rPr>
        <w:footnoteReference w:id="4"/>
      </w:r>
      <w:r w:rsidR="00562EA2">
        <w:rPr>
          <w:lang w:val="ro-RO"/>
        </w:rPr>
        <w:t xml:space="preserve"> din 2017</w:t>
      </w:r>
      <w:r>
        <w:rPr>
          <w:lang w:val="ro-RO"/>
        </w:rPr>
        <w:t xml:space="preserve"> arată următorul mix de producție:</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553"/>
      </w:tblGrid>
      <w:tr w:rsidR="00722BCA" w:rsidRPr="00722BCA" w:rsidTr="00722BCA">
        <w:trPr>
          <w:trHeight w:val="292"/>
        </w:trPr>
        <w:tc>
          <w:tcPr>
            <w:tcW w:w="3120" w:type="dxa"/>
            <w:shd w:val="clear" w:color="auto" w:fill="auto"/>
            <w:noWrap/>
            <w:vAlign w:val="bottom"/>
            <w:hideMark/>
          </w:tcPr>
          <w:p w:rsidR="00722BCA" w:rsidRPr="00722BCA" w:rsidRDefault="00722BCA" w:rsidP="00722BCA">
            <w:pPr>
              <w:spacing w:after="0" w:line="240" w:lineRule="auto"/>
              <w:rPr>
                <w:rFonts w:ascii="Calibri" w:eastAsia="Times New Roman" w:hAnsi="Calibri" w:cs="Calibri"/>
                <w:color w:val="000000"/>
                <w:lang w:val="ro-RO" w:eastAsia="en-GB"/>
              </w:rPr>
            </w:pPr>
            <w:r w:rsidRPr="00722BCA">
              <w:rPr>
                <w:rFonts w:ascii="Calibri" w:eastAsia="Times New Roman" w:hAnsi="Calibri" w:cs="Calibri"/>
                <w:color w:val="000000"/>
                <w:lang w:val="ro-RO" w:eastAsia="en-GB"/>
              </w:rPr>
              <w:t>electricitate (medie națională)</w:t>
            </w:r>
          </w:p>
        </w:tc>
        <w:tc>
          <w:tcPr>
            <w:tcW w:w="1553" w:type="dxa"/>
            <w:shd w:val="clear" w:color="auto" w:fill="auto"/>
            <w:noWrap/>
            <w:vAlign w:val="bottom"/>
            <w:hideMark/>
          </w:tcPr>
          <w:p w:rsidR="00722BCA" w:rsidRPr="00722BCA" w:rsidRDefault="00722BCA" w:rsidP="00722BCA">
            <w:pPr>
              <w:spacing w:after="0" w:line="240" w:lineRule="auto"/>
              <w:rPr>
                <w:rFonts w:ascii="Calibri" w:eastAsia="Times New Roman" w:hAnsi="Calibri" w:cs="Calibri"/>
                <w:color w:val="000000"/>
                <w:lang w:val="ro-RO" w:eastAsia="en-GB"/>
              </w:rPr>
            </w:pPr>
            <w:r w:rsidRPr="00722BCA">
              <w:rPr>
                <w:rFonts w:ascii="Calibri" w:eastAsia="Times New Roman" w:hAnsi="Calibri" w:cs="Calibri"/>
                <w:color w:val="000000"/>
                <w:lang w:val="ro-RO" w:eastAsia="en-GB"/>
              </w:rPr>
              <w:t>proporție</w:t>
            </w:r>
            <w:r w:rsidR="00562EA2">
              <w:rPr>
                <w:rFonts w:ascii="Calibri" w:eastAsia="Times New Roman" w:hAnsi="Calibri" w:cs="Calibri"/>
                <w:color w:val="000000"/>
                <w:lang w:val="ro-RO" w:eastAsia="en-GB"/>
              </w:rPr>
              <w:t xml:space="preserve"> (ANRE 2017</w:t>
            </w:r>
            <w:r w:rsidRPr="00722BCA">
              <w:rPr>
                <w:rFonts w:ascii="Calibri" w:eastAsia="Times New Roman" w:hAnsi="Calibri" w:cs="Calibri"/>
                <w:color w:val="000000"/>
                <w:lang w:val="ro-RO" w:eastAsia="en-GB"/>
              </w:rPr>
              <w:t>)</w:t>
            </w:r>
          </w:p>
        </w:tc>
      </w:tr>
      <w:tr w:rsidR="00722BCA" w:rsidRPr="00722BCA" w:rsidTr="00722BCA">
        <w:trPr>
          <w:trHeight w:val="292"/>
        </w:trPr>
        <w:tc>
          <w:tcPr>
            <w:tcW w:w="3120" w:type="dxa"/>
            <w:shd w:val="clear" w:color="auto" w:fill="auto"/>
            <w:noWrap/>
            <w:vAlign w:val="bottom"/>
            <w:hideMark/>
          </w:tcPr>
          <w:p w:rsidR="00722BCA" w:rsidRPr="00722BCA" w:rsidRDefault="00722BCA" w:rsidP="00722BCA">
            <w:pPr>
              <w:spacing w:after="0" w:line="240" w:lineRule="auto"/>
              <w:rPr>
                <w:rFonts w:ascii="Calibri" w:eastAsia="Times New Roman" w:hAnsi="Calibri" w:cs="Calibri"/>
                <w:color w:val="000000"/>
                <w:lang w:val="ro-RO" w:eastAsia="en-GB"/>
              </w:rPr>
            </w:pPr>
            <w:r w:rsidRPr="00722BCA">
              <w:rPr>
                <w:rFonts w:ascii="Calibri" w:eastAsia="Times New Roman" w:hAnsi="Calibri" w:cs="Calibri"/>
                <w:color w:val="000000"/>
                <w:lang w:val="ro-RO" w:eastAsia="en-GB"/>
              </w:rPr>
              <w:t>cărbune</w:t>
            </w:r>
          </w:p>
        </w:tc>
        <w:tc>
          <w:tcPr>
            <w:tcW w:w="1553" w:type="dxa"/>
            <w:shd w:val="clear" w:color="auto" w:fill="auto"/>
            <w:noWrap/>
            <w:vAlign w:val="bottom"/>
            <w:hideMark/>
          </w:tcPr>
          <w:p w:rsidR="00722BCA" w:rsidRPr="00722BCA" w:rsidRDefault="000C0F8F" w:rsidP="00722BCA">
            <w:pPr>
              <w:spacing w:after="0" w:line="240" w:lineRule="auto"/>
              <w:jc w:val="right"/>
              <w:rPr>
                <w:rFonts w:ascii="Calibri" w:eastAsia="Times New Roman" w:hAnsi="Calibri" w:cs="Calibri"/>
                <w:color w:val="000000"/>
                <w:lang w:val="ro-RO" w:eastAsia="en-GB"/>
              </w:rPr>
            </w:pPr>
            <w:r>
              <w:rPr>
                <w:rFonts w:ascii="Calibri" w:eastAsia="Times New Roman" w:hAnsi="Calibri" w:cs="Calibri"/>
                <w:color w:val="000000"/>
                <w:lang w:val="ro-RO" w:eastAsia="en-GB"/>
              </w:rPr>
              <w:t>26.56</w:t>
            </w:r>
            <w:r w:rsidR="00722BCA" w:rsidRPr="00722BCA">
              <w:rPr>
                <w:rFonts w:ascii="Calibri" w:eastAsia="Times New Roman" w:hAnsi="Calibri" w:cs="Calibri"/>
                <w:color w:val="000000"/>
                <w:lang w:val="ro-RO" w:eastAsia="en-GB"/>
              </w:rPr>
              <w:t>%</w:t>
            </w:r>
          </w:p>
        </w:tc>
      </w:tr>
      <w:tr w:rsidR="00722BCA" w:rsidRPr="00722BCA" w:rsidTr="00722BCA">
        <w:trPr>
          <w:trHeight w:val="292"/>
        </w:trPr>
        <w:tc>
          <w:tcPr>
            <w:tcW w:w="3120" w:type="dxa"/>
            <w:shd w:val="clear" w:color="auto" w:fill="auto"/>
            <w:noWrap/>
            <w:vAlign w:val="bottom"/>
            <w:hideMark/>
          </w:tcPr>
          <w:p w:rsidR="00722BCA" w:rsidRPr="00722BCA" w:rsidRDefault="000C0F8F" w:rsidP="00722BCA">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gaze naturale</w:t>
            </w:r>
          </w:p>
        </w:tc>
        <w:tc>
          <w:tcPr>
            <w:tcW w:w="1553" w:type="dxa"/>
            <w:shd w:val="clear" w:color="auto" w:fill="auto"/>
            <w:noWrap/>
            <w:vAlign w:val="bottom"/>
            <w:hideMark/>
          </w:tcPr>
          <w:p w:rsidR="00722BCA" w:rsidRPr="00722BCA" w:rsidRDefault="00722BCA" w:rsidP="00722BCA">
            <w:pPr>
              <w:spacing w:after="0" w:line="240" w:lineRule="auto"/>
              <w:jc w:val="right"/>
              <w:rPr>
                <w:rFonts w:ascii="Calibri" w:eastAsia="Times New Roman" w:hAnsi="Calibri" w:cs="Calibri"/>
                <w:color w:val="000000"/>
                <w:lang w:val="ro-RO" w:eastAsia="en-GB"/>
              </w:rPr>
            </w:pPr>
            <w:r w:rsidRPr="00722BCA">
              <w:rPr>
                <w:rFonts w:ascii="Calibri" w:eastAsia="Times New Roman" w:hAnsi="Calibri" w:cs="Calibri"/>
                <w:color w:val="000000"/>
                <w:lang w:val="ro-RO" w:eastAsia="en-GB"/>
              </w:rPr>
              <w:t>15</w:t>
            </w:r>
            <w:r w:rsidR="00382570">
              <w:rPr>
                <w:rFonts w:ascii="Calibri" w:eastAsia="Times New Roman" w:hAnsi="Calibri" w:cs="Calibri"/>
                <w:color w:val="000000"/>
                <w:lang w:val="ro-RO" w:eastAsia="en-GB"/>
              </w:rPr>
              <w:t>.22</w:t>
            </w:r>
            <w:r w:rsidRPr="00722BCA">
              <w:rPr>
                <w:rFonts w:ascii="Calibri" w:eastAsia="Times New Roman" w:hAnsi="Calibri" w:cs="Calibri"/>
                <w:color w:val="000000"/>
                <w:lang w:val="ro-RO" w:eastAsia="en-GB"/>
              </w:rPr>
              <w:t>%</w:t>
            </w:r>
          </w:p>
        </w:tc>
      </w:tr>
      <w:tr w:rsidR="00722BCA" w:rsidRPr="00722BCA" w:rsidTr="00722BCA">
        <w:trPr>
          <w:trHeight w:val="292"/>
        </w:trPr>
        <w:tc>
          <w:tcPr>
            <w:tcW w:w="3120" w:type="dxa"/>
            <w:shd w:val="clear" w:color="auto" w:fill="auto"/>
            <w:noWrap/>
            <w:vAlign w:val="bottom"/>
            <w:hideMark/>
          </w:tcPr>
          <w:p w:rsidR="00722BCA" w:rsidRPr="00722BCA" w:rsidRDefault="00722BCA" w:rsidP="00722BCA">
            <w:pPr>
              <w:spacing w:after="0" w:line="240" w:lineRule="auto"/>
              <w:rPr>
                <w:rFonts w:ascii="Calibri" w:eastAsia="Times New Roman" w:hAnsi="Calibri" w:cs="Calibri"/>
                <w:color w:val="000000"/>
                <w:lang w:val="ro-RO" w:eastAsia="en-GB"/>
              </w:rPr>
            </w:pPr>
            <w:r w:rsidRPr="00722BCA">
              <w:rPr>
                <w:rFonts w:ascii="Calibri" w:eastAsia="Times New Roman" w:hAnsi="Calibri" w:cs="Calibri"/>
                <w:color w:val="000000"/>
                <w:lang w:val="ro-RO" w:eastAsia="en-GB"/>
              </w:rPr>
              <w:t>păcură</w:t>
            </w:r>
          </w:p>
        </w:tc>
        <w:tc>
          <w:tcPr>
            <w:tcW w:w="1553" w:type="dxa"/>
            <w:shd w:val="clear" w:color="auto" w:fill="auto"/>
            <w:noWrap/>
            <w:vAlign w:val="bottom"/>
            <w:hideMark/>
          </w:tcPr>
          <w:p w:rsidR="00722BCA" w:rsidRPr="00722BCA" w:rsidRDefault="00562EA2" w:rsidP="00722BCA">
            <w:pPr>
              <w:spacing w:after="0" w:line="240" w:lineRule="auto"/>
              <w:jc w:val="right"/>
              <w:rPr>
                <w:rFonts w:ascii="Calibri" w:eastAsia="Times New Roman" w:hAnsi="Calibri" w:cs="Calibri"/>
                <w:color w:val="000000"/>
                <w:lang w:val="ro-RO" w:eastAsia="en-GB"/>
              </w:rPr>
            </w:pPr>
            <w:r>
              <w:rPr>
                <w:rFonts w:ascii="Calibri" w:eastAsia="Times New Roman" w:hAnsi="Calibri" w:cs="Calibri"/>
                <w:color w:val="000000"/>
                <w:lang w:val="ro-RO" w:eastAsia="en-GB"/>
              </w:rPr>
              <w:t>0.05</w:t>
            </w:r>
            <w:r w:rsidR="00722BCA" w:rsidRPr="00722BCA">
              <w:rPr>
                <w:rFonts w:ascii="Calibri" w:eastAsia="Times New Roman" w:hAnsi="Calibri" w:cs="Calibri"/>
                <w:color w:val="000000"/>
                <w:lang w:val="ro-RO" w:eastAsia="en-GB"/>
              </w:rPr>
              <w:t>%</w:t>
            </w:r>
          </w:p>
        </w:tc>
      </w:tr>
      <w:tr w:rsidR="00C22B7B" w:rsidRPr="00722BCA" w:rsidTr="00722BCA">
        <w:trPr>
          <w:trHeight w:val="292"/>
        </w:trPr>
        <w:tc>
          <w:tcPr>
            <w:tcW w:w="3120" w:type="dxa"/>
            <w:shd w:val="clear" w:color="auto" w:fill="auto"/>
            <w:noWrap/>
            <w:vAlign w:val="bottom"/>
          </w:tcPr>
          <w:p w:rsidR="00C22B7B" w:rsidRPr="00722BCA" w:rsidRDefault="00562EA2" w:rsidP="00722BCA">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nuclear</w:t>
            </w:r>
          </w:p>
        </w:tc>
        <w:tc>
          <w:tcPr>
            <w:tcW w:w="1553" w:type="dxa"/>
            <w:shd w:val="clear" w:color="auto" w:fill="auto"/>
            <w:noWrap/>
            <w:vAlign w:val="bottom"/>
          </w:tcPr>
          <w:p w:rsidR="00C22B7B" w:rsidRPr="00722BCA" w:rsidRDefault="00562EA2" w:rsidP="00722BCA">
            <w:pPr>
              <w:spacing w:after="0" w:line="240" w:lineRule="auto"/>
              <w:jc w:val="right"/>
              <w:rPr>
                <w:rFonts w:ascii="Calibri" w:eastAsia="Times New Roman" w:hAnsi="Calibri" w:cs="Calibri"/>
                <w:color w:val="000000"/>
                <w:lang w:val="ro-RO" w:eastAsia="en-GB"/>
              </w:rPr>
            </w:pPr>
            <w:r>
              <w:rPr>
                <w:rFonts w:ascii="Calibri" w:eastAsia="Times New Roman" w:hAnsi="Calibri" w:cs="Calibri"/>
                <w:color w:val="000000"/>
                <w:lang w:val="ro-RO" w:eastAsia="en-GB"/>
              </w:rPr>
              <w:t>18</w:t>
            </w:r>
            <w:r w:rsidR="00382570">
              <w:rPr>
                <w:rFonts w:ascii="Calibri" w:eastAsia="Times New Roman" w:hAnsi="Calibri" w:cs="Calibri"/>
                <w:color w:val="000000"/>
                <w:lang w:val="ro-RO" w:eastAsia="en-GB"/>
              </w:rPr>
              <w:t>.11</w:t>
            </w:r>
            <w:r>
              <w:rPr>
                <w:rFonts w:ascii="Calibri" w:eastAsia="Times New Roman" w:hAnsi="Calibri" w:cs="Calibri"/>
                <w:color w:val="000000"/>
                <w:lang w:val="ro-RO" w:eastAsia="en-GB"/>
              </w:rPr>
              <w:t>%</w:t>
            </w:r>
          </w:p>
        </w:tc>
      </w:tr>
      <w:tr w:rsidR="00562EA2" w:rsidRPr="00722BCA" w:rsidTr="00722BCA">
        <w:trPr>
          <w:trHeight w:val="292"/>
        </w:trPr>
        <w:tc>
          <w:tcPr>
            <w:tcW w:w="3120" w:type="dxa"/>
            <w:shd w:val="clear" w:color="auto" w:fill="auto"/>
            <w:noWrap/>
            <w:vAlign w:val="bottom"/>
          </w:tcPr>
          <w:p w:rsidR="00562EA2" w:rsidRDefault="002D0398" w:rsidP="00722BCA">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a</w:t>
            </w:r>
            <w:r w:rsidR="00382570">
              <w:rPr>
                <w:rFonts w:ascii="Calibri" w:eastAsia="Times New Roman" w:hAnsi="Calibri" w:cs="Calibri"/>
                <w:color w:val="000000"/>
                <w:lang w:val="ro-RO" w:eastAsia="en-GB"/>
              </w:rPr>
              <w:t>lte surse convenționale</w:t>
            </w:r>
          </w:p>
        </w:tc>
        <w:tc>
          <w:tcPr>
            <w:tcW w:w="1553" w:type="dxa"/>
            <w:shd w:val="clear" w:color="auto" w:fill="auto"/>
            <w:noWrap/>
            <w:vAlign w:val="bottom"/>
          </w:tcPr>
          <w:p w:rsidR="00562EA2" w:rsidRDefault="00382570" w:rsidP="00722BCA">
            <w:pPr>
              <w:spacing w:after="0" w:line="240" w:lineRule="auto"/>
              <w:jc w:val="right"/>
              <w:rPr>
                <w:rFonts w:ascii="Calibri" w:eastAsia="Times New Roman" w:hAnsi="Calibri" w:cs="Calibri"/>
                <w:color w:val="000000"/>
                <w:lang w:val="ro-RO" w:eastAsia="en-GB"/>
              </w:rPr>
            </w:pPr>
            <w:r>
              <w:rPr>
                <w:rFonts w:ascii="Calibri" w:eastAsia="Times New Roman" w:hAnsi="Calibri" w:cs="Calibri"/>
                <w:color w:val="000000"/>
                <w:lang w:val="ro-RO" w:eastAsia="en-GB"/>
              </w:rPr>
              <w:t>1.85%</w:t>
            </w:r>
          </w:p>
        </w:tc>
      </w:tr>
      <w:tr w:rsidR="00382570" w:rsidRPr="002D0398" w:rsidTr="00722BCA">
        <w:trPr>
          <w:trHeight w:val="292"/>
        </w:trPr>
        <w:tc>
          <w:tcPr>
            <w:tcW w:w="3120" w:type="dxa"/>
            <w:shd w:val="clear" w:color="auto" w:fill="auto"/>
            <w:noWrap/>
            <w:vAlign w:val="bottom"/>
          </w:tcPr>
          <w:p w:rsidR="00382570" w:rsidRDefault="00382570" w:rsidP="00722BCA">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hidroelectric</w:t>
            </w:r>
          </w:p>
        </w:tc>
        <w:tc>
          <w:tcPr>
            <w:tcW w:w="1553" w:type="dxa"/>
            <w:shd w:val="clear" w:color="auto" w:fill="auto"/>
            <w:noWrap/>
            <w:vAlign w:val="bottom"/>
          </w:tcPr>
          <w:p w:rsidR="00382570" w:rsidRDefault="00382570" w:rsidP="00722BCA">
            <w:pPr>
              <w:spacing w:after="0" w:line="240" w:lineRule="auto"/>
              <w:jc w:val="right"/>
              <w:rPr>
                <w:rFonts w:ascii="Calibri" w:eastAsia="Times New Roman" w:hAnsi="Calibri" w:cs="Calibri"/>
                <w:color w:val="000000"/>
                <w:lang w:val="ro-RO" w:eastAsia="en-GB"/>
              </w:rPr>
            </w:pPr>
            <w:r>
              <w:rPr>
                <w:rFonts w:ascii="Calibri" w:eastAsia="Times New Roman" w:hAnsi="Calibri" w:cs="Calibri"/>
                <w:color w:val="000000"/>
                <w:lang w:val="ro-RO" w:eastAsia="en-GB"/>
              </w:rPr>
              <w:t>23.42%</w:t>
            </w:r>
          </w:p>
        </w:tc>
      </w:tr>
      <w:tr w:rsidR="00382570" w:rsidRPr="00722BCA" w:rsidTr="00722BCA">
        <w:trPr>
          <w:trHeight w:val="292"/>
        </w:trPr>
        <w:tc>
          <w:tcPr>
            <w:tcW w:w="3120" w:type="dxa"/>
            <w:shd w:val="clear" w:color="auto" w:fill="auto"/>
            <w:noWrap/>
            <w:vAlign w:val="bottom"/>
          </w:tcPr>
          <w:p w:rsidR="00382570" w:rsidRDefault="00382570" w:rsidP="00722BCA">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eolian</w:t>
            </w:r>
          </w:p>
        </w:tc>
        <w:tc>
          <w:tcPr>
            <w:tcW w:w="1553" w:type="dxa"/>
            <w:shd w:val="clear" w:color="auto" w:fill="auto"/>
            <w:noWrap/>
            <w:vAlign w:val="bottom"/>
          </w:tcPr>
          <w:p w:rsidR="00382570" w:rsidRDefault="00382570" w:rsidP="00722BCA">
            <w:pPr>
              <w:spacing w:after="0" w:line="240" w:lineRule="auto"/>
              <w:jc w:val="right"/>
              <w:rPr>
                <w:rFonts w:ascii="Calibri" w:eastAsia="Times New Roman" w:hAnsi="Calibri" w:cs="Calibri"/>
                <w:color w:val="000000"/>
                <w:lang w:val="ro-RO" w:eastAsia="en-GB"/>
              </w:rPr>
            </w:pPr>
            <w:r>
              <w:rPr>
                <w:rFonts w:ascii="Calibri" w:eastAsia="Times New Roman" w:hAnsi="Calibri" w:cs="Calibri"/>
                <w:color w:val="000000"/>
                <w:lang w:val="ro-RO" w:eastAsia="en-GB"/>
              </w:rPr>
              <w:t>11.64%</w:t>
            </w:r>
          </w:p>
        </w:tc>
      </w:tr>
      <w:tr w:rsidR="00382570" w:rsidRPr="00722BCA" w:rsidTr="00722BCA">
        <w:trPr>
          <w:trHeight w:val="292"/>
        </w:trPr>
        <w:tc>
          <w:tcPr>
            <w:tcW w:w="3120" w:type="dxa"/>
            <w:shd w:val="clear" w:color="auto" w:fill="auto"/>
            <w:noWrap/>
            <w:vAlign w:val="bottom"/>
          </w:tcPr>
          <w:p w:rsidR="00382570" w:rsidRDefault="00382570" w:rsidP="00722BCA">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biomasă</w:t>
            </w:r>
          </w:p>
        </w:tc>
        <w:tc>
          <w:tcPr>
            <w:tcW w:w="1553" w:type="dxa"/>
            <w:shd w:val="clear" w:color="auto" w:fill="auto"/>
            <w:noWrap/>
            <w:vAlign w:val="bottom"/>
          </w:tcPr>
          <w:p w:rsidR="00382570" w:rsidRDefault="00382570" w:rsidP="00722BCA">
            <w:pPr>
              <w:spacing w:after="0" w:line="240" w:lineRule="auto"/>
              <w:jc w:val="right"/>
              <w:rPr>
                <w:rFonts w:ascii="Calibri" w:eastAsia="Times New Roman" w:hAnsi="Calibri" w:cs="Calibri"/>
                <w:color w:val="000000"/>
                <w:lang w:val="ro-RO" w:eastAsia="en-GB"/>
              </w:rPr>
            </w:pPr>
            <w:r>
              <w:rPr>
                <w:rFonts w:ascii="Calibri" w:eastAsia="Times New Roman" w:hAnsi="Calibri" w:cs="Calibri"/>
                <w:color w:val="000000"/>
                <w:lang w:val="ro-RO" w:eastAsia="en-GB"/>
              </w:rPr>
              <w:t>0.57%</w:t>
            </w:r>
          </w:p>
        </w:tc>
      </w:tr>
      <w:tr w:rsidR="00382570" w:rsidRPr="00722BCA" w:rsidTr="00722BCA">
        <w:trPr>
          <w:trHeight w:val="292"/>
        </w:trPr>
        <w:tc>
          <w:tcPr>
            <w:tcW w:w="3120" w:type="dxa"/>
            <w:shd w:val="clear" w:color="auto" w:fill="auto"/>
            <w:noWrap/>
            <w:vAlign w:val="bottom"/>
          </w:tcPr>
          <w:p w:rsidR="00382570" w:rsidRDefault="00382570" w:rsidP="00722BCA">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solar</w:t>
            </w:r>
          </w:p>
        </w:tc>
        <w:tc>
          <w:tcPr>
            <w:tcW w:w="1553" w:type="dxa"/>
            <w:shd w:val="clear" w:color="auto" w:fill="auto"/>
            <w:noWrap/>
            <w:vAlign w:val="bottom"/>
          </w:tcPr>
          <w:p w:rsidR="00382570" w:rsidRDefault="00382570" w:rsidP="00722BCA">
            <w:pPr>
              <w:spacing w:after="0" w:line="240" w:lineRule="auto"/>
              <w:jc w:val="right"/>
              <w:rPr>
                <w:rFonts w:ascii="Calibri" w:eastAsia="Times New Roman" w:hAnsi="Calibri" w:cs="Calibri"/>
                <w:color w:val="000000"/>
                <w:lang w:val="ro-RO" w:eastAsia="en-GB"/>
              </w:rPr>
            </w:pPr>
            <w:r>
              <w:rPr>
                <w:rFonts w:ascii="Calibri" w:eastAsia="Times New Roman" w:hAnsi="Calibri" w:cs="Calibri"/>
                <w:color w:val="000000"/>
                <w:lang w:val="ro-RO" w:eastAsia="en-GB"/>
              </w:rPr>
              <w:t>2.55%</w:t>
            </w:r>
          </w:p>
        </w:tc>
      </w:tr>
      <w:tr w:rsidR="00382570" w:rsidRPr="00722BCA" w:rsidTr="00722BCA">
        <w:trPr>
          <w:trHeight w:val="292"/>
        </w:trPr>
        <w:tc>
          <w:tcPr>
            <w:tcW w:w="3120" w:type="dxa"/>
            <w:shd w:val="clear" w:color="auto" w:fill="auto"/>
            <w:noWrap/>
            <w:vAlign w:val="bottom"/>
          </w:tcPr>
          <w:p w:rsidR="00382570" w:rsidRDefault="002D0398" w:rsidP="00722BCA">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a</w:t>
            </w:r>
            <w:r w:rsidR="00382570">
              <w:rPr>
                <w:rFonts w:ascii="Calibri" w:eastAsia="Times New Roman" w:hAnsi="Calibri" w:cs="Calibri"/>
                <w:color w:val="000000"/>
                <w:lang w:val="ro-RO" w:eastAsia="en-GB"/>
              </w:rPr>
              <w:t>lte surse regenerabile</w:t>
            </w:r>
          </w:p>
        </w:tc>
        <w:tc>
          <w:tcPr>
            <w:tcW w:w="1553" w:type="dxa"/>
            <w:shd w:val="clear" w:color="auto" w:fill="auto"/>
            <w:noWrap/>
            <w:vAlign w:val="bottom"/>
          </w:tcPr>
          <w:p w:rsidR="00382570" w:rsidRDefault="00382570" w:rsidP="00722BCA">
            <w:pPr>
              <w:spacing w:after="0" w:line="240" w:lineRule="auto"/>
              <w:jc w:val="right"/>
              <w:rPr>
                <w:rFonts w:ascii="Calibri" w:eastAsia="Times New Roman" w:hAnsi="Calibri" w:cs="Calibri"/>
                <w:color w:val="000000"/>
                <w:lang w:val="ro-RO" w:eastAsia="en-GB"/>
              </w:rPr>
            </w:pPr>
            <w:r>
              <w:rPr>
                <w:rFonts w:ascii="Calibri" w:eastAsia="Times New Roman" w:hAnsi="Calibri" w:cs="Calibri"/>
                <w:color w:val="000000"/>
                <w:lang w:val="ro-RO" w:eastAsia="en-GB"/>
              </w:rPr>
              <w:t>0.03%</w:t>
            </w:r>
          </w:p>
        </w:tc>
      </w:tr>
    </w:tbl>
    <w:p w:rsidR="00722BCA" w:rsidRDefault="00722BCA" w:rsidP="002D0398">
      <w:pPr>
        <w:spacing w:after="0" w:line="240" w:lineRule="auto"/>
        <w:jc w:val="both"/>
        <w:rPr>
          <w:lang w:val="ro-RO"/>
        </w:rPr>
      </w:pPr>
    </w:p>
    <w:p w:rsidR="007173B0" w:rsidRDefault="007173B0" w:rsidP="002D0398">
      <w:pPr>
        <w:spacing w:after="0" w:line="240" w:lineRule="auto"/>
        <w:jc w:val="both"/>
        <w:rPr>
          <w:lang w:val="ro-RO"/>
        </w:rPr>
      </w:pPr>
      <w:r>
        <w:rPr>
          <w:lang w:val="ro-RO"/>
        </w:rPr>
        <w:t>De asemenea, ANRE indică o rata medie de 314,52 g de CO2 pe kWh produs.</w:t>
      </w:r>
    </w:p>
    <w:p w:rsidR="002D0398" w:rsidRDefault="002D0398" w:rsidP="002D0398">
      <w:pPr>
        <w:spacing w:after="0" w:line="240" w:lineRule="auto"/>
        <w:jc w:val="both"/>
        <w:rPr>
          <w:lang w:val="ro-RO"/>
        </w:rPr>
      </w:pPr>
      <w:r>
        <w:rPr>
          <w:lang w:val="ro-RO"/>
        </w:rPr>
        <w:t xml:space="preserve">Din datele </w:t>
      </w:r>
      <w:proofErr w:type="spellStart"/>
      <w:r>
        <w:rPr>
          <w:lang w:val="ro-RO"/>
        </w:rPr>
        <w:t>Eurostat</w:t>
      </w:r>
      <w:proofErr w:type="spellEnd"/>
      <w:r w:rsidRPr="007173B0">
        <w:rPr>
          <w:vertAlign w:val="superscript"/>
        </w:rPr>
        <w:footnoteReference w:id="5"/>
      </w:r>
      <w:r>
        <w:rPr>
          <w:lang w:val="ro-RO"/>
        </w:rPr>
        <w:t xml:space="preserve">, se constată că în 2017, producția totală de electricitate era de </w:t>
      </w:r>
      <w:r w:rsidR="007173B0">
        <w:rPr>
          <w:lang w:val="ro-RO"/>
        </w:rPr>
        <w:t>64 296,</w:t>
      </w:r>
      <w:r w:rsidRPr="002D0398">
        <w:rPr>
          <w:lang w:val="ro-RO"/>
        </w:rPr>
        <w:t>019 GWh</w:t>
      </w:r>
      <w:r w:rsidR="007173B0">
        <w:rPr>
          <w:lang w:val="ro-RO"/>
        </w:rPr>
        <w:t xml:space="preserve"> din care 15 739,000 GWh din lignit, reprezentând 24,48% din producția totală.</w:t>
      </w:r>
    </w:p>
    <w:p w:rsidR="007173B0" w:rsidRDefault="007173B0" w:rsidP="002D0398">
      <w:pPr>
        <w:spacing w:after="0" w:line="240" w:lineRule="auto"/>
        <w:jc w:val="both"/>
        <w:rPr>
          <w:lang w:val="ro-RO"/>
        </w:rPr>
      </w:pPr>
    </w:p>
    <w:p w:rsidR="007173B0" w:rsidRDefault="007173B0" w:rsidP="002D0398">
      <w:pPr>
        <w:spacing w:after="0" w:line="240" w:lineRule="auto"/>
        <w:jc w:val="both"/>
        <w:rPr>
          <w:lang w:val="ro-RO"/>
        </w:rPr>
      </w:pPr>
      <w:r>
        <w:rPr>
          <w:lang w:val="ro-RO"/>
        </w:rPr>
        <w:t>În vederea unei analize a emisiilor de poluanți ai aerului, tabelul de mai sus poate fi simplificat după cum urmează:</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553"/>
      </w:tblGrid>
      <w:tr w:rsidR="007173B0" w:rsidRPr="00722BCA" w:rsidTr="001A6FB8">
        <w:trPr>
          <w:trHeight w:val="292"/>
        </w:trPr>
        <w:tc>
          <w:tcPr>
            <w:tcW w:w="3120" w:type="dxa"/>
            <w:shd w:val="clear" w:color="auto" w:fill="auto"/>
            <w:noWrap/>
            <w:vAlign w:val="bottom"/>
            <w:hideMark/>
          </w:tcPr>
          <w:p w:rsidR="007173B0" w:rsidRPr="00722BCA" w:rsidRDefault="007173B0" w:rsidP="001A6FB8">
            <w:pPr>
              <w:spacing w:after="0" w:line="240" w:lineRule="auto"/>
              <w:rPr>
                <w:rFonts w:ascii="Calibri" w:eastAsia="Times New Roman" w:hAnsi="Calibri" w:cs="Calibri"/>
                <w:color w:val="000000"/>
                <w:lang w:val="ro-RO" w:eastAsia="en-GB"/>
              </w:rPr>
            </w:pPr>
            <w:r w:rsidRPr="00722BCA">
              <w:rPr>
                <w:rFonts w:ascii="Calibri" w:eastAsia="Times New Roman" w:hAnsi="Calibri" w:cs="Calibri"/>
                <w:color w:val="000000"/>
                <w:lang w:val="ro-RO" w:eastAsia="en-GB"/>
              </w:rPr>
              <w:t>electricitate (medie națională)</w:t>
            </w:r>
          </w:p>
        </w:tc>
        <w:tc>
          <w:tcPr>
            <w:tcW w:w="1553" w:type="dxa"/>
            <w:shd w:val="clear" w:color="auto" w:fill="auto"/>
            <w:noWrap/>
            <w:vAlign w:val="bottom"/>
            <w:hideMark/>
          </w:tcPr>
          <w:p w:rsidR="007173B0" w:rsidRPr="00722BCA" w:rsidRDefault="007173B0" w:rsidP="001A6FB8">
            <w:pPr>
              <w:spacing w:after="0" w:line="240" w:lineRule="auto"/>
              <w:rPr>
                <w:rFonts w:ascii="Calibri" w:eastAsia="Times New Roman" w:hAnsi="Calibri" w:cs="Calibri"/>
                <w:color w:val="000000"/>
                <w:lang w:val="ro-RO" w:eastAsia="en-GB"/>
              </w:rPr>
            </w:pPr>
            <w:r w:rsidRPr="00722BCA">
              <w:rPr>
                <w:rFonts w:ascii="Calibri" w:eastAsia="Times New Roman" w:hAnsi="Calibri" w:cs="Calibri"/>
                <w:color w:val="000000"/>
                <w:lang w:val="ro-RO" w:eastAsia="en-GB"/>
              </w:rPr>
              <w:t>proporție</w:t>
            </w:r>
            <w:r>
              <w:rPr>
                <w:rFonts w:ascii="Calibri" w:eastAsia="Times New Roman" w:hAnsi="Calibri" w:cs="Calibri"/>
                <w:color w:val="000000"/>
                <w:lang w:val="ro-RO" w:eastAsia="en-GB"/>
              </w:rPr>
              <w:t xml:space="preserve"> (ANRE 2017</w:t>
            </w:r>
            <w:r w:rsidRPr="00722BCA">
              <w:rPr>
                <w:rFonts w:ascii="Calibri" w:eastAsia="Times New Roman" w:hAnsi="Calibri" w:cs="Calibri"/>
                <w:color w:val="000000"/>
                <w:lang w:val="ro-RO" w:eastAsia="en-GB"/>
              </w:rPr>
              <w:t>)</w:t>
            </w:r>
          </w:p>
        </w:tc>
      </w:tr>
      <w:tr w:rsidR="007173B0" w:rsidRPr="00722BCA" w:rsidTr="001A6FB8">
        <w:trPr>
          <w:trHeight w:val="292"/>
        </w:trPr>
        <w:tc>
          <w:tcPr>
            <w:tcW w:w="3120" w:type="dxa"/>
            <w:shd w:val="clear" w:color="auto" w:fill="auto"/>
            <w:noWrap/>
            <w:vAlign w:val="bottom"/>
            <w:hideMark/>
          </w:tcPr>
          <w:p w:rsidR="007173B0" w:rsidRPr="00722BCA" w:rsidRDefault="007173B0" w:rsidP="001A6FB8">
            <w:pPr>
              <w:spacing w:after="0" w:line="240" w:lineRule="auto"/>
              <w:rPr>
                <w:rFonts w:ascii="Calibri" w:eastAsia="Times New Roman" w:hAnsi="Calibri" w:cs="Calibri"/>
                <w:color w:val="000000"/>
                <w:lang w:val="ro-RO" w:eastAsia="en-GB"/>
              </w:rPr>
            </w:pPr>
            <w:r w:rsidRPr="00722BCA">
              <w:rPr>
                <w:rFonts w:ascii="Calibri" w:eastAsia="Times New Roman" w:hAnsi="Calibri" w:cs="Calibri"/>
                <w:color w:val="000000"/>
                <w:lang w:val="ro-RO" w:eastAsia="en-GB"/>
              </w:rPr>
              <w:t>cărbune</w:t>
            </w:r>
          </w:p>
        </w:tc>
        <w:tc>
          <w:tcPr>
            <w:tcW w:w="1553" w:type="dxa"/>
            <w:shd w:val="clear" w:color="auto" w:fill="auto"/>
            <w:noWrap/>
            <w:vAlign w:val="bottom"/>
            <w:hideMark/>
          </w:tcPr>
          <w:p w:rsidR="007173B0" w:rsidRPr="00722BCA" w:rsidRDefault="007173B0" w:rsidP="007173B0">
            <w:pPr>
              <w:spacing w:after="0" w:line="240" w:lineRule="auto"/>
              <w:jc w:val="right"/>
              <w:rPr>
                <w:rFonts w:ascii="Calibri" w:eastAsia="Times New Roman" w:hAnsi="Calibri" w:cs="Calibri"/>
                <w:color w:val="000000"/>
                <w:lang w:val="ro-RO" w:eastAsia="en-GB"/>
              </w:rPr>
            </w:pPr>
            <w:r>
              <w:rPr>
                <w:rFonts w:ascii="Calibri" w:eastAsia="Times New Roman" w:hAnsi="Calibri" w:cs="Calibri"/>
                <w:color w:val="000000"/>
                <w:lang w:val="ro-RO" w:eastAsia="en-GB"/>
              </w:rPr>
              <w:t>2.08</w:t>
            </w:r>
            <w:r w:rsidRPr="00722BCA">
              <w:rPr>
                <w:rFonts w:ascii="Calibri" w:eastAsia="Times New Roman" w:hAnsi="Calibri" w:cs="Calibri"/>
                <w:color w:val="000000"/>
                <w:lang w:val="ro-RO" w:eastAsia="en-GB"/>
              </w:rPr>
              <w:t>%</w:t>
            </w:r>
          </w:p>
        </w:tc>
      </w:tr>
      <w:tr w:rsidR="007173B0" w:rsidRPr="00722BCA" w:rsidTr="001A6FB8">
        <w:trPr>
          <w:trHeight w:val="292"/>
        </w:trPr>
        <w:tc>
          <w:tcPr>
            <w:tcW w:w="3120" w:type="dxa"/>
            <w:shd w:val="clear" w:color="auto" w:fill="auto"/>
            <w:noWrap/>
            <w:vAlign w:val="bottom"/>
          </w:tcPr>
          <w:p w:rsidR="007173B0" w:rsidRPr="00722BCA" w:rsidRDefault="007173B0" w:rsidP="001A6FB8">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lastRenderedPageBreak/>
              <w:t>lignit</w:t>
            </w:r>
          </w:p>
        </w:tc>
        <w:tc>
          <w:tcPr>
            <w:tcW w:w="1553" w:type="dxa"/>
            <w:shd w:val="clear" w:color="auto" w:fill="auto"/>
            <w:noWrap/>
            <w:vAlign w:val="bottom"/>
          </w:tcPr>
          <w:p w:rsidR="007173B0" w:rsidRDefault="007173B0" w:rsidP="001A6FB8">
            <w:pPr>
              <w:spacing w:after="0" w:line="240" w:lineRule="auto"/>
              <w:jc w:val="right"/>
              <w:rPr>
                <w:rFonts w:ascii="Calibri" w:eastAsia="Times New Roman" w:hAnsi="Calibri" w:cs="Calibri"/>
                <w:color w:val="000000"/>
                <w:lang w:val="ro-RO" w:eastAsia="en-GB"/>
              </w:rPr>
            </w:pPr>
            <w:r>
              <w:rPr>
                <w:rFonts w:ascii="Calibri" w:eastAsia="Times New Roman" w:hAnsi="Calibri" w:cs="Calibri"/>
                <w:color w:val="000000"/>
                <w:lang w:val="ro-RO" w:eastAsia="en-GB"/>
              </w:rPr>
              <w:t>24.48%</w:t>
            </w:r>
          </w:p>
        </w:tc>
      </w:tr>
      <w:tr w:rsidR="007173B0" w:rsidRPr="00722BCA" w:rsidTr="001A6FB8">
        <w:trPr>
          <w:trHeight w:val="292"/>
        </w:trPr>
        <w:tc>
          <w:tcPr>
            <w:tcW w:w="3120" w:type="dxa"/>
            <w:shd w:val="clear" w:color="auto" w:fill="auto"/>
            <w:noWrap/>
            <w:vAlign w:val="bottom"/>
            <w:hideMark/>
          </w:tcPr>
          <w:p w:rsidR="007173B0" w:rsidRPr="00722BCA" w:rsidRDefault="007173B0" w:rsidP="001A6FB8">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gaze naturale</w:t>
            </w:r>
          </w:p>
        </w:tc>
        <w:tc>
          <w:tcPr>
            <w:tcW w:w="1553" w:type="dxa"/>
            <w:shd w:val="clear" w:color="auto" w:fill="auto"/>
            <w:noWrap/>
            <w:vAlign w:val="bottom"/>
            <w:hideMark/>
          </w:tcPr>
          <w:p w:rsidR="007173B0" w:rsidRPr="00722BCA" w:rsidRDefault="007173B0" w:rsidP="001A6FB8">
            <w:pPr>
              <w:spacing w:after="0" w:line="240" w:lineRule="auto"/>
              <w:jc w:val="right"/>
              <w:rPr>
                <w:rFonts w:ascii="Calibri" w:eastAsia="Times New Roman" w:hAnsi="Calibri" w:cs="Calibri"/>
                <w:color w:val="000000"/>
                <w:lang w:val="ro-RO" w:eastAsia="en-GB"/>
              </w:rPr>
            </w:pPr>
            <w:r w:rsidRPr="00722BCA">
              <w:rPr>
                <w:rFonts w:ascii="Calibri" w:eastAsia="Times New Roman" w:hAnsi="Calibri" w:cs="Calibri"/>
                <w:color w:val="000000"/>
                <w:lang w:val="ro-RO" w:eastAsia="en-GB"/>
              </w:rPr>
              <w:t>15</w:t>
            </w:r>
            <w:r>
              <w:rPr>
                <w:rFonts w:ascii="Calibri" w:eastAsia="Times New Roman" w:hAnsi="Calibri" w:cs="Calibri"/>
                <w:color w:val="000000"/>
                <w:lang w:val="ro-RO" w:eastAsia="en-GB"/>
              </w:rPr>
              <w:t>.22</w:t>
            </w:r>
            <w:r w:rsidRPr="00722BCA">
              <w:rPr>
                <w:rFonts w:ascii="Calibri" w:eastAsia="Times New Roman" w:hAnsi="Calibri" w:cs="Calibri"/>
                <w:color w:val="000000"/>
                <w:lang w:val="ro-RO" w:eastAsia="en-GB"/>
              </w:rPr>
              <w:t>%</w:t>
            </w:r>
          </w:p>
        </w:tc>
      </w:tr>
      <w:tr w:rsidR="007173B0" w:rsidRPr="00722BCA" w:rsidTr="001A6FB8">
        <w:trPr>
          <w:trHeight w:val="292"/>
        </w:trPr>
        <w:tc>
          <w:tcPr>
            <w:tcW w:w="3120" w:type="dxa"/>
            <w:shd w:val="clear" w:color="auto" w:fill="auto"/>
            <w:noWrap/>
            <w:vAlign w:val="bottom"/>
            <w:hideMark/>
          </w:tcPr>
          <w:p w:rsidR="007173B0" w:rsidRPr="00722BCA" w:rsidRDefault="007173B0" w:rsidP="001A6FB8">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p</w:t>
            </w:r>
            <w:r w:rsidRPr="00722BCA">
              <w:rPr>
                <w:rFonts w:ascii="Calibri" w:eastAsia="Times New Roman" w:hAnsi="Calibri" w:cs="Calibri"/>
                <w:color w:val="000000"/>
                <w:lang w:val="ro-RO" w:eastAsia="en-GB"/>
              </w:rPr>
              <w:t>ăcură</w:t>
            </w:r>
            <w:r>
              <w:rPr>
                <w:rFonts w:ascii="Calibri" w:eastAsia="Times New Roman" w:hAnsi="Calibri" w:cs="Calibri"/>
                <w:color w:val="000000"/>
                <w:lang w:val="ro-RO" w:eastAsia="en-GB"/>
              </w:rPr>
              <w:t xml:space="preserve"> și echivalent</w:t>
            </w:r>
          </w:p>
        </w:tc>
        <w:tc>
          <w:tcPr>
            <w:tcW w:w="1553" w:type="dxa"/>
            <w:shd w:val="clear" w:color="auto" w:fill="auto"/>
            <w:noWrap/>
            <w:vAlign w:val="bottom"/>
            <w:hideMark/>
          </w:tcPr>
          <w:p w:rsidR="007173B0" w:rsidRPr="00722BCA" w:rsidRDefault="007173B0" w:rsidP="007173B0">
            <w:pPr>
              <w:spacing w:after="0" w:line="240" w:lineRule="auto"/>
              <w:jc w:val="right"/>
              <w:rPr>
                <w:rFonts w:ascii="Calibri" w:eastAsia="Times New Roman" w:hAnsi="Calibri" w:cs="Calibri"/>
                <w:color w:val="000000"/>
                <w:lang w:val="ro-RO" w:eastAsia="en-GB"/>
              </w:rPr>
            </w:pPr>
            <w:r>
              <w:rPr>
                <w:rFonts w:ascii="Calibri" w:eastAsia="Times New Roman" w:hAnsi="Calibri" w:cs="Calibri"/>
                <w:color w:val="000000"/>
                <w:lang w:val="ro-RO" w:eastAsia="en-GB"/>
              </w:rPr>
              <w:t>1.90</w:t>
            </w:r>
            <w:r w:rsidRPr="00722BCA">
              <w:rPr>
                <w:rFonts w:ascii="Calibri" w:eastAsia="Times New Roman" w:hAnsi="Calibri" w:cs="Calibri"/>
                <w:color w:val="000000"/>
                <w:lang w:val="ro-RO" w:eastAsia="en-GB"/>
              </w:rPr>
              <w:t>%</w:t>
            </w:r>
          </w:p>
        </w:tc>
      </w:tr>
      <w:tr w:rsidR="007173B0" w:rsidRPr="00722BCA" w:rsidTr="001A6FB8">
        <w:trPr>
          <w:trHeight w:val="292"/>
        </w:trPr>
        <w:tc>
          <w:tcPr>
            <w:tcW w:w="3120" w:type="dxa"/>
            <w:shd w:val="clear" w:color="auto" w:fill="auto"/>
            <w:noWrap/>
            <w:vAlign w:val="bottom"/>
          </w:tcPr>
          <w:p w:rsidR="007173B0" w:rsidRDefault="007173B0" w:rsidP="001A6FB8">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biomasă și echivalent</w:t>
            </w:r>
          </w:p>
        </w:tc>
        <w:tc>
          <w:tcPr>
            <w:tcW w:w="1553" w:type="dxa"/>
            <w:shd w:val="clear" w:color="auto" w:fill="auto"/>
            <w:noWrap/>
            <w:vAlign w:val="bottom"/>
          </w:tcPr>
          <w:p w:rsidR="007173B0" w:rsidRDefault="007173B0" w:rsidP="001A6FB8">
            <w:pPr>
              <w:spacing w:after="0" w:line="240" w:lineRule="auto"/>
              <w:jc w:val="right"/>
              <w:rPr>
                <w:rFonts w:ascii="Calibri" w:eastAsia="Times New Roman" w:hAnsi="Calibri" w:cs="Calibri"/>
                <w:color w:val="000000"/>
                <w:lang w:val="ro-RO" w:eastAsia="en-GB"/>
              </w:rPr>
            </w:pPr>
            <w:r>
              <w:rPr>
                <w:rFonts w:ascii="Calibri" w:eastAsia="Times New Roman" w:hAnsi="Calibri" w:cs="Calibri"/>
                <w:color w:val="000000"/>
                <w:lang w:val="ro-RO" w:eastAsia="en-GB"/>
              </w:rPr>
              <w:t>0.60%</w:t>
            </w:r>
          </w:p>
        </w:tc>
      </w:tr>
    </w:tbl>
    <w:p w:rsidR="007173B0" w:rsidRDefault="007173B0" w:rsidP="002D0398">
      <w:pPr>
        <w:spacing w:after="0" w:line="240" w:lineRule="auto"/>
        <w:jc w:val="both"/>
        <w:rPr>
          <w:lang w:val="ro-RO"/>
        </w:rPr>
      </w:pPr>
    </w:p>
    <w:p w:rsidR="003F6A2D" w:rsidRDefault="00C22B7B" w:rsidP="002D0398">
      <w:pPr>
        <w:spacing w:after="0" w:line="240" w:lineRule="auto"/>
        <w:jc w:val="both"/>
        <w:rPr>
          <w:lang w:val="ro-RO"/>
        </w:rPr>
      </w:pPr>
      <w:r>
        <w:rPr>
          <w:lang w:val="ro-RO"/>
        </w:rPr>
        <w:t>N</w:t>
      </w:r>
      <w:r w:rsidR="007173B0">
        <w:rPr>
          <w:lang w:val="ro-RO"/>
        </w:rPr>
        <w:t xml:space="preserve">u sunt arătate, în tabelul de mai sus, partea aferentă </w:t>
      </w:r>
      <w:r>
        <w:rPr>
          <w:lang w:val="ro-RO"/>
        </w:rPr>
        <w:t>nucl</w:t>
      </w:r>
      <w:r w:rsidR="007173B0">
        <w:rPr>
          <w:lang w:val="ro-RO"/>
        </w:rPr>
        <w:t xml:space="preserve">earului, </w:t>
      </w:r>
      <w:proofErr w:type="spellStart"/>
      <w:r w:rsidR="007173B0">
        <w:rPr>
          <w:lang w:val="ro-RO"/>
        </w:rPr>
        <w:t>hidro</w:t>
      </w:r>
      <w:proofErr w:type="spellEnd"/>
      <w:r w:rsidR="007173B0">
        <w:rPr>
          <w:lang w:val="ro-RO"/>
        </w:rPr>
        <w:t xml:space="preserve">, eolian și solar, pentru că emisiile de CO2 și de poluanți ai aerului sunt extrem de limitate. Este de precizat aici că </w:t>
      </w:r>
      <w:r w:rsidR="00F83426">
        <w:rPr>
          <w:lang w:val="ro-RO"/>
        </w:rPr>
        <w:t xml:space="preserve">sunt avute în vedere </w:t>
      </w:r>
      <w:r w:rsidR="000A6C63">
        <w:rPr>
          <w:lang w:val="ro-RO"/>
        </w:rPr>
        <w:t xml:space="preserve">emisiile directe aferente producerii electricității fără a include emisiile aferente construirii și dezafectării centralelor electrice sau emisiile aferente extragerii și transportului combustibililor până la centrală. Această abordare este justificată prin faptul că, pentru vehicule cu combustie internă, emisiile sunt cele aferente combustiei, fără a lua în considerare emisiile aferente extragerii, rafinării și transportului </w:t>
      </w:r>
      <w:r w:rsidR="003F6A2D">
        <w:rPr>
          <w:lang w:val="ro-RO"/>
        </w:rPr>
        <w:t>combustibililor.</w:t>
      </w:r>
    </w:p>
    <w:p w:rsidR="003F6A2D" w:rsidRDefault="003F6A2D" w:rsidP="002D0398">
      <w:pPr>
        <w:spacing w:after="0" w:line="240" w:lineRule="auto"/>
        <w:jc w:val="both"/>
        <w:rPr>
          <w:lang w:val="ro-RO"/>
        </w:rPr>
      </w:pPr>
    </w:p>
    <w:p w:rsidR="00C22B7B" w:rsidRDefault="003F6A2D" w:rsidP="002D0398">
      <w:pPr>
        <w:spacing w:after="0" w:line="240" w:lineRule="auto"/>
        <w:jc w:val="both"/>
        <w:rPr>
          <w:lang w:val="ro-RO"/>
        </w:rPr>
      </w:pPr>
      <w:r>
        <w:rPr>
          <w:lang w:val="ro-RO"/>
        </w:rPr>
        <w:t xml:space="preserve">Într-o analiză cost beneficiu de proiecte rutiere, este însă rezonabil să nu fie luate în considerare </w:t>
      </w:r>
      <w:r w:rsidR="00F02F29">
        <w:rPr>
          <w:lang w:val="ro-RO"/>
        </w:rPr>
        <w:t>emisiile aferente construirii vehiculelor</w:t>
      </w:r>
      <w:r>
        <w:rPr>
          <w:lang w:val="ro-RO"/>
        </w:rPr>
        <w:t xml:space="preserve"> pentru că flota de vehicule este aceeași în situația cu proiect și în cea fără proiect</w:t>
      </w:r>
      <w:r w:rsidR="00F02F29">
        <w:rPr>
          <w:lang w:val="ro-RO"/>
        </w:rPr>
        <w:t>.</w:t>
      </w:r>
    </w:p>
    <w:p w:rsidR="00F02F29" w:rsidRDefault="00F02F29" w:rsidP="002D0398">
      <w:pPr>
        <w:spacing w:after="0" w:line="240" w:lineRule="auto"/>
        <w:jc w:val="both"/>
        <w:rPr>
          <w:lang w:val="ro-RO"/>
        </w:rPr>
      </w:pPr>
    </w:p>
    <w:p w:rsidR="00F02F29" w:rsidRDefault="003562CF" w:rsidP="005F453A">
      <w:pPr>
        <w:spacing w:after="0" w:line="240" w:lineRule="auto"/>
        <w:jc w:val="both"/>
        <w:rPr>
          <w:lang w:val="ro-RO"/>
        </w:rPr>
      </w:pPr>
      <w:r>
        <w:rPr>
          <w:lang w:val="ro-RO"/>
        </w:rPr>
        <w:t xml:space="preserve">În ceea ce privește emisiile de poluanți ai aerului, </w:t>
      </w:r>
      <w:r w:rsidR="005F453A">
        <w:rPr>
          <w:lang w:val="ro-RO"/>
        </w:rPr>
        <w:t>au fost folosite datele din raportul „</w:t>
      </w:r>
      <w:r w:rsidR="005F453A" w:rsidRPr="005F453A">
        <w:rPr>
          <w:lang w:val="ro-RO"/>
        </w:rPr>
        <w:t xml:space="preserve">EMEP/EEA air pollutant </w:t>
      </w:r>
      <w:proofErr w:type="spellStart"/>
      <w:r w:rsidR="005F453A" w:rsidRPr="005F453A">
        <w:rPr>
          <w:lang w:val="ro-RO"/>
        </w:rPr>
        <w:t>emission</w:t>
      </w:r>
      <w:proofErr w:type="spellEnd"/>
      <w:r w:rsidR="005F453A" w:rsidRPr="005F453A">
        <w:rPr>
          <w:lang w:val="ro-RO"/>
        </w:rPr>
        <w:t xml:space="preserve"> </w:t>
      </w:r>
      <w:proofErr w:type="spellStart"/>
      <w:r w:rsidR="005F453A" w:rsidRPr="005F453A">
        <w:rPr>
          <w:lang w:val="ro-RO"/>
        </w:rPr>
        <w:t>inventory</w:t>
      </w:r>
      <w:proofErr w:type="spellEnd"/>
      <w:r w:rsidR="005F453A" w:rsidRPr="005F453A">
        <w:rPr>
          <w:lang w:val="ro-RO"/>
        </w:rPr>
        <w:t xml:space="preserve"> </w:t>
      </w:r>
      <w:proofErr w:type="spellStart"/>
      <w:r w:rsidR="005F453A" w:rsidRPr="005F453A">
        <w:rPr>
          <w:lang w:val="ro-RO"/>
        </w:rPr>
        <w:t>guidebook</w:t>
      </w:r>
      <w:proofErr w:type="spellEnd"/>
      <w:r w:rsidR="005F453A" w:rsidRPr="005F453A">
        <w:rPr>
          <w:lang w:val="ro-RO"/>
        </w:rPr>
        <w:t xml:space="preserve"> 2019</w:t>
      </w:r>
      <w:r w:rsidR="005F453A">
        <w:rPr>
          <w:lang w:val="ro-RO"/>
        </w:rPr>
        <w:t>” – metoda simplificată (</w:t>
      </w:r>
      <w:proofErr w:type="spellStart"/>
      <w:r w:rsidR="005F453A">
        <w:rPr>
          <w:lang w:val="ro-RO"/>
        </w:rPr>
        <w:t>Tier</w:t>
      </w:r>
      <w:proofErr w:type="spellEnd"/>
      <w:r w:rsidR="005F453A">
        <w:rPr>
          <w:lang w:val="ro-RO"/>
        </w:rPr>
        <w:t xml:space="preserve"> 1), după cum urmează:</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980"/>
        <w:gridCol w:w="1340"/>
        <w:gridCol w:w="1320"/>
        <w:gridCol w:w="1020"/>
        <w:gridCol w:w="1020"/>
      </w:tblGrid>
      <w:tr w:rsidR="003562CF" w:rsidRPr="003562CF" w:rsidTr="003562CF">
        <w:trPr>
          <w:trHeight w:val="292"/>
        </w:trPr>
        <w:tc>
          <w:tcPr>
            <w:tcW w:w="3120" w:type="dxa"/>
            <w:shd w:val="clear" w:color="auto" w:fill="auto"/>
            <w:noWrap/>
            <w:vAlign w:val="bottom"/>
          </w:tcPr>
          <w:p w:rsidR="003562CF" w:rsidRPr="003562CF" w:rsidRDefault="003562CF" w:rsidP="003562CF">
            <w:pPr>
              <w:spacing w:after="0" w:line="240" w:lineRule="auto"/>
              <w:rPr>
                <w:rFonts w:ascii="Calibri" w:eastAsia="Times New Roman" w:hAnsi="Calibri" w:cs="Calibri"/>
                <w:color w:val="000000"/>
                <w:lang w:val="ro-RO" w:eastAsia="en-GB"/>
              </w:rPr>
            </w:pPr>
          </w:p>
        </w:tc>
        <w:tc>
          <w:tcPr>
            <w:tcW w:w="980" w:type="dxa"/>
            <w:shd w:val="clear" w:color="auto" w:fill="auto"/>
            <w:noWrap/>
            <w:vAlign w:val="bottom"/>
          </w:tcPr>
          <w:p w:rsidR="003562CF" w:rsidRPr="003562CF" w:rsidRDefault="003562CF" w:rsidP="003562CF">
            <w:pPr>
              <w:spacing w:after="0" w:line="240" w:lineRule="auto"/>
              <w:rPr>
                <w:rFonts w:ascii="Calibri" w:eastAsia="Times New Roman" w:hAnsi="Calibri" w:cs="Calibri"/>
                <w:color w:val="000000"/>
                <w:lang w:val="ro-RO" w:eastAsia="en-GB"/>
              </w:rPr>
            </w:pPr>
          </w:p>
        </w:tc>
        <w:tc>
          <w:tcPr>
            <w:tcW w:w="1340" w:type="dxa"/>
            <w:shd w:val="clear" w:color="auto" w:fill="auto"/>
            <w:noWrap/>
            <w:vAlign w:val="bottom"/>
          </w:tcPr>
          <w:p w:rsidR="003562CF" w:rsidRDefault="003562CF" w:rsidP="003562CF">
            <w:pPr>
              <w:spacing w:after="0" w:line="240" w:lineRule="auto"/>
              <w:rPr>
                <w:rFonts w:ascii="Calibri" w:hAnsi="Calibri" w:cs="Calibri"/>
                <w:color w:val="000000"/>
              </w:rPr>
            </w:pPr>
            <w:r>
              <w:rPr>
                <w:rFonts w:ascii="Calibri" w:hAnsi="Calibri" w:cs="Calibri"/>
                <w:color w:val="000000"/>
              </w:rPr>
              <w:t>NOx</w:t>
            </w:r>
          </w:p>
        </w:tc>
        <w:tc>
          <w:tcPr>
            <w:tcW w:w="1320" w:type="dxa"/>
            <w:shd w:val="clear" w:color="auto" w:fill="auto"/>
            <w:noWrap/>
            <w:vAlign w:val="bottom"/>
          </w:tcPr>
          <w:p w:rsidR="003562CF" w:rsidRDefault="003562CF" w:rsidP="003562CF">
            <w:pPr>
              <w:spacing w:after="0" w:line="240" w:lineRule="auto"/>
              <w:rPr>
                <w:rFonts w:ascii="Calibri" w:hAnsi="Calibri" w:cs="Calibri"/>
                <w:color w:val="000000"/>
              </w:rPr>
            </w:pPr>
            <w:r>
              <w:rPr>
                <w:rFonts w:ascii="Calibri" w:hAnsi="Calibri" w:cs="Calibri"/>
                <w:color w:val="000000"/>
              </w:rPr>
              <w:t>NMVOC</w:t>
            </w:r>
          </w:p>
        </w:tc>
        <w:tc>
          <w:tcPr>
            <w:tcW w:w="1020" w:type="dxa"/>
            <w:shd w:val="clear" w:color="auto" w:fill="auto"/>
            <w:noWrap/>
            <w:vAlign w:val="bottom"/>
          </w:tcPr>
          <w:p w:rsidR="003562CF" w:rsidRDefault="003562CF" w:rsidP="003562CF">
            <w:pPr>
              <w:spacing w:after="0" w:line="240" w:lineRule="auto"/>
              <w:rPr>
                <w:rFonts w:ascii="Calibri" w:hAnsi="Calibri" w:cs="Calibri"/>
                <w:color w:val="000000"/>
              </w:rPr>
            </w:pPr>
            <w:r>
              <w:rPr>
                <w:rFonts w:ascii="Calibri" w:hAnsi="Calibri" w:cs="Calibri"/>
                <w:color w:val="000000"/>
              </w:rPr>
              <w:t>SO2</w:t>
            </w:r>
          </w:p>
        </w:tc>
        <w:tc>
          <w:tcPr>
            <w:tcW w:w="1020" w:type="dxa"/>
            <w:shd w:val="clear" w:color="auto" w:fill="auto"/>
            <w:noWrap/>
            <w:vAlign w:val="bottom"/>
          </w:tcPr>
          <w:p w:rsidR="003562CF" w:rsidRDefault="003562CF" w:rsidP="003562CF">
            <w:pPr>
              <w:spacing w:after="0" w:line="240" w:lineRule="auto"/>
              <w:rPr>
                <w:rFonts w:ascii="Calibri" w:hAnsi="Calibri" w:cs="Calibri"/>
                <w:color w:val="000000"/>
              </w:rPr>
            </w:pPr>
            <w:r>
              <w:rPr>
                <w:rFonts w:ascii="Calibri" w:hAnsi="Calibri" w:cs="Calibri"/>
                <w:color w:val="000000"/>
              </w:rPr>
              <w:t>PM</w:t>
            </w:r>
          </w:p>
        </w:tc>
      </w:tr>
      <w:tr w:rsidR="003562CF" w:rsidRPr="003562CF" w:rsidTr="003562CF">
        <w:trPr>
          <w:trHeight w:val="292"/>
        </w:trPr>
        <w:tc>
          <w:tcPr>
            <w:tcW w:w="3120" w:type="dxa"/>
            <w:shd w:val="clear" w:color="auto" w:fill="auto"/>
            <w:noWrap/>
            <w:vAlign w:val="bottom"/>
            <w:hideMark/>
          </w:tcPr>
          <w:p w:rsidR="003562CF" w:rsidRPr="003562CF" w:rsidRDefault="003562CF" w:rsidP="003562CF">
            <w:pPr>
              <w:spacing w:after="0" w:line="240" w:lineRule="auto"/>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cărbune</w:t>
            </w:r>
          </w:p>
        </w:tc>
        <w:tc>
          <w:tcPr>
            <w:tcW w:w="980" w:type="dxa"/>
            <w:shd w:val="clear" w:color="auto" w:fill="auto"/>
            <w:noWrap/>
            <w:vAlign w:val="bottom"/>
            <w:hideMark/>
          </w:tcPr>
          <w:p w:rsidR="003562CF" w:rsidRPr="003562CF" w:rsidRDefault="003562CF" w:rsidP="003562CF">
            <w:pPr>
              <w:spacing w:after="0" w:line="240" w:lineRule="auto"/>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g/GJ</w:t>
            </w:r>
          </w:p>
        </w:tc>
        <w:tc>
          <w:tcPr>
            <w:tcW w:w="1340" w:type="dxa"/>
            <w:shd w:val="clear" w:color="auto" w:fill="auto"/>
            <w:noWrap/>
            <w:vAlign w:val="bottom"/>
            <w:hideMark/>
          </w:tcPr>
          <w:p w:rsidR="003562CF" w:rsidRPr="003562CF" w:rsidRDefault="003562CF" w:rsidP="003562CF">
            <w:pPr>
              <w:spacing w:after="0" w:line="240" w:lineRule="auto"/>
              <w:jc w:val="right"/>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209</w:t>
            </w:r>
          </w:p>
        </w:tc>
        <w:tc>
          <w:tcPr>
            <w:tcW w:w="1320" w:type="dxa"/>
            <w:shd w:val="clear" w:color="auto" w:fill="auto"/>
            <w:noWrap/>
            <w:vAlign w:val="bottom"/>
            <w:hideMark/>
          </w:tcPr>
          <w:p w:rsidR="003562CF" w:rsidRPr="003562CF" w:rsidRDefault="003562CF" w:rsidP="003562CF">
            <w:pPr>
              <w:spacing w:after="0" w:line="240" w:lineRule="auto"/>
              <w:jc w:val="right"/>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1</w:t>
            </w:r>
          </w:p>
        </w:tc>
        <w:tc>
          <w:tcPr>
            <w:tcW w:w="1020" w:type="dxa"/>
            <w:shd w:val="clear" w:color="auto" w:fill="auto"/>
            <w:noWrap/>
            <w:vAlign w:val="bottom"/>
            <w:hideMark/>
          </w:tcPr>
          <w:p w:rsidR="003562CF" w:rsidRPr="003562CF" w:rsidRDefault="003562CF" w:rsidP="003562CF">
            <w:pPr>
              <w:spacing w:after="0" w:line="240" w:lineRule="auto"/>
              <w:jc w:val="right"/>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820</w:t>
            </w:r>
          </w:p>
        </w:tc>
        <w:tc>
          <w:tcPr>
            <w:tcW w:w="1020" w:type="dxa"/>
            <w:shd w:val="clear" w:color="auto" w:fill="auto"/>
            <w:noWrap/>
            <w:vAlign w:val="bottom"/>
            <w:hideMark/>
          </w:tcPr>
          <w:p w:rsidR="003562CF" w:rsidRPr="003562CF" w:rsidRDefault="003562CF" w:rsidP="003562CF">
            <w:pPr>
              <w:spacing w:after="0" w:line="240" w:lineRule="auto"/>
              <w:jc w:val="right"/>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11.1</w:t>
            </w:r>
          </w:p>
        </w:tc>
      </w:tr>
      <w:tr w:rsidR="003562CF" w:rsidRPr="003562CF" w:rsidTr="003562CF">
        <w:trPr>
          <w:trHeight w:val="292"/>
        </w:trPr>
        <w:tc>
          <w:tcPr>
            <w:tcW w:w="3120" w:type="dxa"/>
            <w:shd w:val="clear" w:color="auto" w:fill="auto"/>
            <w:noWrap/>
            <w:vAlign w:val="bottom"/>
            <w:hideMark/>
          </w:tcPr>
          <w:p w:rsidR="003562CF" w:rsidRPr="003562CF" w:rsidRDefault="003562CF" w:rsidP="003562CF">
            <w:pPr>
              <w:spacing w:after="0" w:line="240" w:lineRule="auto"/>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lignit</w:t>
            </w:r>
          </w:p>
        </w:tc>
        <w:tc>
          <w:tcPr>
            <w:tcW w:w="980" w:type="dxa"/>
            <w:shd w:val="clear" w:color="auto" w:fill="auto"/>
            <w:noWrap/>
            <w:vAlign w:val="bottom"/>
            <w:hideMark/>
          </w:tcPr>
          <w:p w:rsidR="003562CF" w:rsidRPr="003562CF" w:rsidRDefault="003562CF" w:rsidP="003562CF">
            <w:pPr>
              <w:spacing w:after="0" w:line="240" w:lineRule="auto"/>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g/GJ</w:t>
            </w:r>
          </w:p>
        </w:tc>
        <w:tc>
          <w:tcPr>
            <w:tcW w:w="1340" w:type="dxa"/>
            <w:shd w:val="clear" w:color="auto" w:fill="auto"/>
            <w:noWrap/>
            <w:vAlign w:val="bottom"/>
            <w:hideMark/>
          </w:tcPr>
          <w:p w:rsidR="003562CF" w:rsidRPr="003562CF" w:rsidRDefault="003562CF" w:rsidP="003562CF">
            <w:pPr>
              <w:spacing w:after="0" w:line="240" w:lineRule="auto"/>
              <w:jc w:val="right"/>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247</w:t>
            </w:r>
          </w:p>
        </w:tc>
        <w:tc>
          <w:tcPr>
            <w:tcW w:w="1320" w:type="dxa"/>
            <w:shd w:val="clear" w:color="auto" w:fill="auto"/>
            <w:noWrap/>
            <w:vAlign w:val="bottom"/>
            <w:hideMark/>
          </w:tcPr>
          <w:p w:rsidR="003562CF" w:rsidRPr="003562CF" w:rsidRDefault="003562CF" w:rsidP="003562CF">
            <w:pPr>
              <w:spacing w:after="0" w:line="240" w:lineRule="auto"/>
              <w:jc w:val="right"/>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1.4</w:t>
            </w:r>
          </w:p>
        </w:tc>
        <w:tc>
          <w:tcPr>
            <w:tcW w:w="1020" w:type="dxa"/>
            <w:shd w:val="clear" w:color="auto" w:fill="auto"/>
            <w:noWrap/>
            <w:vAlign w:val="bottom"/>
            <w:hideMark/>
          </w:tcPr>
          <w:p w:rsidR="003562CF" w:rsidRPr="003562CF" w:rsidRDefault="003562CF" w:rsidP="003562CF">
            <w:pPr>
              <w:spacing w:after="0" w:line="240" w:lineRule="auto"/>
              <w:jc w:val="right"/>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1680</w:t>
            </w:r>
          </w:p>
        </w:tc>
        <w:tc>
          <w:tcPr>
            <w:tcW w:w="1020" w:type="dxa"/>
            <w:shd w:val="clear" w:color="auto" w:fill="auto"/>
            <w:noWrap/>
            <w:vAlign w:val="bottom"/>
            <w:hideMark/>
          </w:tcPr>
          <w:p w:rsidR="003562CF" w:rsidRPr="003562CF" w:rsidRDefault="003562CF" w:rsidP="003562CF">
            <w:pPr>
              <w:spacing w:after="0" w:line="240" w:lineRule="auto"/>
              <w:jc w:val="right"/>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11.1</w:t>
            </w:r>
          </w:p>
        </w:tc>
      </w:tr>
      <w:tr w:rsidR="003562CF" w:rsidRPr="003562CF" w:rsidTr="003562CF">
        <w:trPr>
          <w:trHeight w:val="292"/>
        </w:trPr>
        <w:tc>
          <w:tcPr>
            <w:tcW w:w="3120" w:type="dxa"/>
            <w:shd w:val="clear" w:color="auto" w:fill="auto"/>
            <w:noWrap/>
            <w:vAlign w:val="bottom"/>
            <w:hideMark/>
          </w:tcPr>
          <w:p w:rsidR="003562CF" w:rsidRPr="003562CF" w:rsidRDefault="003562CF" w:rsidP="003562CF">
            <w:pPr>
              <w:spacing w:after="0" w:line="240" w:lineRule="auto"/>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combustibil gazos</w:t>
            </w:r>
          </w:p>
        </w:tc>
        <w:tc>
          <w:tcPr>
            <w:tcW w:w="980" w:type="dxa"/>
            <w:shd w:val="clear" w:color="auto" w:fill="auto"/>
            <w:noWrap/>
            <w:vAlign w:val="bottom"/>
            <w:hideMark/>
          </w:tcPr>
          <w:p w:rsidR="003562CF" w:rsidRPr="003562CF" w:rsidRDefault="003562CF" w:rsidP="003562CF">
            <w:pPr>
              <w:spacing w:after="0" w:line="240" w:lineRule="auto"/>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g/GJ</w:t>
            </w:r>
          </w:p>
        </w:tc>
        <w:tc>
          <w:tcPr>
            <w:tcW w:w="1340" w:type="dxa"/>
            <w:shd w:val="clear" w:color="auto" w:fill="auto"/>
            <w:noWrap/>
            <w:vAlign w:val="bottom"/>
            <w:hideMark/>
          </w:tcPr>
          <w:p w:rsidR="003562CF" w:rsidRPr="003562CF" w:rsidRDefault="003562CF" w:rsidP="003562CF">
            <w:pPr>
              <w:spacing w:after="0" w:line="240" w:lineRule="auto"/>
              <w:jc w:val="right"/>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89</w:t>
            </w:r>
          </w:p>
        </w:tc>
        <w:tc>
          <w:tcPr>
            <w:tcW w:w="1320" w:type="dxa"/>
            <w:shd w:val="clear" w:color="auto" w:fill="auto"/>
            <w:noWrap/>
            <w:vAlign w:val="bottom"/>
            <w:hideMark/>
          </w:tcPr>
          <w:p w:rsidR="003562CF" w:rsidRPr="003562CF" w:rsidRDefault="003562CF" w:rsidP="003562CF">
            <w:pPr>
              <w:spacing w:after="0" w:line="240" w:lineRule="auto"/>
              <w:jc w:val="right"/>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2.6</w:t>
            </w:r>
          </w:p>
        </w:tc>
        <w:tc>
          <w:tcPr>
            <w:tcW w:w="1020" w:type="dxa"/>
            <w:shd w:val="clear" w:color="auto" w:fill="auto"/>
            <w:noWrap/>
            <w:vAlign w:val="bottom"/>
            <w:hideMark/>
          </w:tcPr>
          <w:p w:rsidR="003562CF" w:rsidRPr="003562CF" w:rsidRDefault="003562CF" w:rsidP="003562CF">
            <w:pPr>
              <w:spacing w:after="0" w:line="240" w:lineRule="auto"/>
              <w:jc w:val="right"/>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0.281</w:t>
            </w:r>
          </w:p>
        </w:tc>
        <w:tc>
          <w:tcPr>
            <w:tcW w:w="1020" w:type="dxa"/>
            <w:shd w:val="clear" w:color="auto" w:fill="auto"/>
            <w:noWrap/>
            <w:vAlign w:val="bottom"/>
            <w:hideMark/>
          </w:tcPr>
          <w:p w:rsidR="003562CF" w:rsidRPr="003562CF" w:rsidRDefault="003562CF" w:rsidP="003562CF">
            <w:pPr>
              <w:spacing w:after="0" w:line="240" w:lineRule="auto"/>
              <w:jc w:val="right"/>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1.78</w:t>
            </w:r>
          </w:p>
        </w:tc>
      </w:tr>
      <w:tr w:rsidR="003562CF" w:rsidRPr="003562CF" w:rsidTr="003562CF">
        <w:trPr>
          <w:trHeight w:val="292"/>
        </w:trPr>
        <w:tc>
          <w:tcPr>
            <w:tcW w:w="3120" w:type="dxa"/>
            <w:shd w:val="clear" w:color="auto" w:fill="auto"/>
            <w:noWrap/>
            <w:vAlign w:val="bottom"/>
            <w:hideMark/>
          </w:tcPr>
          <w:p w:rsidR="003562CF" w:rsidRPr="003562CF" w:rsidRDefault="003562CF" w:rsidP="003562CF">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păcură</w:t>
            </w:r>
          </w:p>
        </w:tc>
        <w:tc>
          <w:tcPr>
            <w:tcW w:w="980" w:type="dxa"/>
            <w:shd w:val="clear" w:color="auto" w:fill="auto"/>
            <w:noWrap/>
            <w:vAlign w:val="bottom"/>
            <w:hideMark/>
          </w:tcPr>
          <w:p w:rsidR="003562CF" w:rsidRPr="003562CF" w:rsidRDefault="003562CF" w:rsidP="003562CF">
            <w:pPr>
              <w:spacing w:after="0" w:line="240" w:lineRule="auto"/>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g/GJ</w:t>
            </w:r>
          </w:p>
        </w:tc>
        <w:tc>
          <w:tcPr>
            <w:tcW w:w="1340" w:type="dxa"/>
            <w:shd w:val="clear" w:color="auto" w:fill="auto"/>
            <w:noWrap/>
            <w:vAlign w:val="bottom"/>
            <w:hideMark/>
          </w:tcPr>
          <w:p w:rsidR="003562CF" w:rsidRPr="003562CF" w:rsidRDefault="003562CF" w:rsidP="003562CF">
            <w:pPr>
              <w:spacing w:after="0" w:line="240" w:lineRule="auto"/>
              <w:jc w:val="right"/>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142</w:t>
            </w:r>
          </w:p>
        </w:tc>
        <w:tc>
          <w:tcPr>
            <w:tcW w:w="1320" w:type="dxa"/>
            <w:shd w:val="clear" w:color="auto" w:fill="auto"/>
            <w:noWrap/>
            <w:vAlign w:val="bottom"/>
            <w:hideMark/>
          </w:tcPr>
          <w:p w:rsidR="003562CF" w:rsidRPr="003562CF" w:rsidRDefault="003562CF" w:rsidP="003562CF">
            <w:pPr>
              <w:spacing w:after="0" w:line="240" w:lineRule="auto"/>
              <w:jc w:val="right"/>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2.3</w:t>
            </w:r>
          </w:p>
        </w:tc>
        <w:tc>
          <w:tcPr>
            <w:tcW w:w="1020" w:type="dxa"/>
            <w:shd w:val="clear" w:color="auto" w:fill="auto"/>
            <w:noWrap/>
            <w:vAlign w:val="bottom"/>
            <w:hideMark/>
          </w:tcPr>
          <w:p w:rsidR="003562CF" w:rsidRPr="003562CF" w:rsidRDefault="003562CF" w:rsidP="003562CF">
            <w:pPr>
              <w:spacing w:after="0" w:line="240" w:lineRule="auto"/>
              <w:jc w:val="right"/>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495</w:t>
            </w:r>
          </w:p>
        </w:tc>
        <w:tc>
          <w:tcPr>
            <w:tcW w:w="1020" w:type="dxa"/>
            <w:shd w:val="clear" w:color="auto" w:fill="auto"/>
            <w:noWrap/>
            <w:vAlign w:val="bottom"/>
            <w:hideMark/>
          </w:tcPr>
          <w:p w:rsidR="003562CF" w:rsidRPr="003562CF" w:rsidRDefault="003562CF" w:rsidP="003562CF">
            <w:pPr>
              <w:spacing w:after="0" w:line="240" w:lineRule="auto"/>
              <w:jc w:val="right"/>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44.5</w:t>
            </w:r>
          </w:p>
        </w:tc>
      </w:tr>
      <w:tr w:rsidR="003562CF" w:rsidRPr="003562CF" w:rsidTr="003562CF">
        <w:trPr>
          <w:trHeight w:val="292"/>
        </w:trPr>
        <w:tc>
          <w:tcPr>
            <w:tcW w:w="3120" w:type="dxa"/>
            <w:shd w:val="clear" w:color="auto" w:fill="auto"/>
            <w:noWrap/>
            <w:vAlign w:val="bottom"/>
          </w:tcPr>
          <w:p w:rsidR="003562CF" w:rsidRDefault="003562CF" w:rsidP="003562CF">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biomasă</w:t>
            </w:r>
          </w:p>
        </w:tc>
        <w:tc>
          <w:tcPr>
            <w:tcW w:w="980" w:type="dxa"/>
            <w:shd w:val="clear" w:color="auto" w:fill="auto"/>
            <w:noWrap/>
            <w:vAlign w:val="bottom"/>
          </w:tcPr>
          <w:p w:rsidR="003562CF" w:rsidRPr="003562CF" w:rsidRDefault="005F453A" w:rsidP="003562CF">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g/GJ</w:t>
            </w:r>
          </w:p>
        </w:tc>
        <w:tc>
          <w:tcPr>
            <w:tcW w:w="1340" w:type="dxa"/>
            <w:shd w:val="clear" w:color="auto" w:fill="auto"/>
            <w:noWrap/>
            <w:vAlign w:val="bottom"/>
          </w:tcPr>
          <w:p w:rsidR="003562CF" w:rsidRPr="003562CF" w:rsidRDefault="005F453A" w:rsidP="003562CF">
            <w:pPr>
              <w:spacing w:after="0" w:line="240" w:lineRule="auto"/>
              <w:jc w:val="right"/>
              <w:rPr>
                <w:rFonts w:ascii="Calibri" w:eastAsia="Times New Roman" w:hAnsi="Calibri" w:cs="Calibri"/>
                <w:color w:val="000000"/>
                <w:lang w:val="ro-RO" w:eastAsia="en-GB"/>
              </w:rPr>
            </w:pPr>
            <w:r>
              <w:rPr>
                <w:rFonts w:ascii="Calibri" w:eastAsia="Times New Roman" w:hAnsi="Calibri" w:cs="Calibri"/>
                <w:color w:val="000000"/>
                <w:lang w:val="ro-RO" w:eastAsia="en-GB"/>
              </w:rPr>
              <w:t>81</w:t>
            </w:r>
          </w:p>
        </w:tc>
        <w:tc>
          <w:tcPr>
            <w:tcW w:w="1320" w:type="dxa"/>
            <w:shd w:val="clear" w:color="auto" w:fill="auto"/>
            <w:noWrap/>
            <w:vAlign w:val="bottom"/>
          </w:tcPr>
          <w:p w:rsidR="003562CF" w:rsidRPr="003562CF" w:rsidRDefault="005F453A" w:rsidP="003562CF">
            <w:pPr>
              <w:spacing w:after="0" w:line="240" w:lineRule="auto"/>
              <w:jc w:val="right"/>
              <w:rPr>
                <w:rFonts w:ascii="Calibri" w:eastAsia="Times New Roman" w:hAnsi="Calibri" w:cs="Calibri"/>
                <w:color w:val="000000"/>
                <w:lang w:val="ro-RO" w:eastAsia="en-GB"/>
              </w:rPr>
            </w:pPr>
            <w:r>
              <w:rPr>
                <w:rFonts w:ascii="Calibri" w:eastAsia="Times New Roman" w:hAnsi="Calibri" w:cs="Calibri"/>
                <w:color w:val="000000"/>
                <w:lang w:val="ro-RO" w:eastAsia="en-GB"/>
              </w:rPr>
              <w:t>7.31</w:t>
            </w:r>
          </w:p>
        </w:tc>
        <w:tc>
          <w:tcPr>
            <w:tcW w:w="1020" w:type="dxa"/>
            <w:shd w:val="clear" w:color="auto" w:fill="auto"/>
            <w:noWrap/>
            <w:vAlign w:val="bottom"/>
          </w:tcPr>
          <w:p w:rsidR="003562CF" w:rsidRPr="003562CF" w:rsidRDefault="005F453A" w:rsidP="003562CF">
            <w:pPr>
              <w:spacing w:after="0" w:line="240" w:lineRule="auto"/>
              <w:jc w:val="right"/>
              <w:rPr>
                <w:rFonts w:ascii="Calibri" w:eastAsia="Times New Roman" w:hAnsi="Calibri" w:cs="Calibri"/>
                <w:color w:val="000000"/>
                <w:lang w:val="ro-RO" w:eastAsia="en-GB"/>
              </w:rPr>
            </w:pPr>
            <w:r>
              <w:rPr>
                <w:rFonts w:ascii="Calibri" w:eastAsia="Times New Roman" w:hAnsi="Calibri" w:cs="Calibri"/>
                <w:color w:val="000000"/>
                <w:lang w:val="ro-RO" w:eastAsia="en-GB"/>
              </w:rPr>
              <w:t>10.8</w:t>
            </w:r>
          </w:p>
        </w:tc>
        <w:tc>
          <w:tcPr>
            <w:tcW w:w="1020" w:type="dxa"/>
            <w:shd w:val="clear" w:color="auto" w:fill="auto"/>
            <w:noWrap/>
            <w:vAlign w:val="bottom"/>
          </w:tcPr>
          <w:p w:rsidR="003562CF" w:rsidRPr="00A92121" w:rsidRDefault="00EB1D24" w:rsidP="003562CF">
            <w:pPr>
              <w:spacing w:after="0" w:line="240" w:lineRule="auto"/>
              <w:jc w:val="right"/>
              <w:rPr>
                <w:rFonts w:ascii="Calibri" w:eastAsia="Times New Roman" w:hAnsi="Calibri" w:cs="Calibri"/>
                <w:color w:val="000000"/>
                <w:lang w:val="en-US" w:eastAsia="en-GB"/>
              </w:rPr>
            </w:pPr>
            <w:r>
              <w:rPr>
                <w:rFonts w:ascii="Calibri" w:eastAsia="Times New Roman" w:hAnsi="Calibri" w:cs="Calibri"/>
                <w:color w:val="000000"/>
                <w:lang w:val="ro-RO" w:eastAsia="en-GB"/>
              </w:rPr>
              <w:t>288</w:t>
            </w:r>
          </w:p>
        </w:tc>
      </w:tr>
    </w:tbl>
    <w:p w:rsidR="003562CF" w:rsidRDefault="003562CF" w:rsidP="002D0398">
      <w:pPr>
        <w:spacing w:after="0" w:line="240" w:lineRule="auto"/>
        <w:jc w:val="both"/>
        <w:rPr>
          <w:lang w:val="ro-RO"/>
        </w:rPr>
      </w:pPr>
    </w:p>
    <w:p w:rsidR="00722BCA" w:rsidRDefault="00A92121" w:rsidP="002A46E5">
      <w:pPr>
        <w:jc w:val="both"/>
        <w:rPr>
          <w:lang w:val="ro-RO"/>
        </w:rPr>
      </w:pPr>
      <w:r>
        <w:rPr>
          <w:lang w:val="ro-RO"/>
        </w:rPr>
        <w:t xml:space="preserve">Pentru fiecare tip de combustibil, valorile de mai sus indică emisiile în funcție de </w:t>
      </w:r>
      <w:r w:rsidR="003F6A2D">
        <w:rPr>
          <w:lang w:val="ro-RO"/>
        </w:rPr>
        <w:t>utilizarea combustibilului folosit pentru producerea de electricitate. Pentru a avea emisiile în funcție de electricitatea efectiv produsă, trebuie luat în considerare pierderea din procesul de generare.</w:t>
      </w:r>
    </w:p>
    <w:p w:rsidR="003F6A2D" w:rsidRPr="00B034F6" w:rsidRDefault="003F6A2D" w:rsidP="002A46E5">
      <w:pPr>
        <w:jc w:val="both"/>
        <w:rPr>
          <w:lang w:val="ro-RO"/>
        </w:rPr>
      </w:pPr>
      <w:r>
        <w:rPr>
          <w:lang w:val="ro-RO"/>
        </w:rPr>
        <w:t>Factorii de eficiență a generării de electricitate au fost considerate după cum este prezentat în tabelul următor</w:t>
      </w:r>
      <w:r>
        <w:rPr>
          <w:rStyle w:val="FootnoteReference"/>
          <w:lang w:val="ro-RO"/>
        </w:rPr>
        <w:footnoteReference w:id="6"/>
      </w:r>
      <w:r>
        <w:rPr>
          <w:lang w:val="ro-RO"/>
        </w:rPr>
        <w:t>:</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1586"/>
      </w:tblGrid>
      <w:tr w:rsidR="003F6A2D" w:rsidRPr="003562CF" w:rsidTr="003F6A2D">
        <w:trPr>
          <w:trHeight w:val="292"/>
        </w:trPr>
        <w:tc>
          <w:tcPr>
            <w:tcW w:w="3087" w:type="dxa"/>
            <w:shd w:val="clear" w:color="auto" w:fill="auto"/>
            <w:noWrap/>
            <w:vAlign w:val="bottom"/>
          </w:tcPr>
          <w:p w:rsidR="003F6A2D" w:rsidRPr="003562CF" w:rsidRDefault="003F6A2D" w:rsidP="001A6FB8">
            <w:pPr>
              <w:spacing w:after="0" w:line="240" w:lineRule="auto"/>
              <w:rPr>
                <w:rFonts w:ascii="Calibri" w:eastAsia="Times New Roman" w:hAnsi="Calibri" w:cs="Calibri"/>
                <w:color w:val="000000"/>
                <w:lang w:val="ro-RO" w:eastAsia="en-GB"/>
              </w:rPr>
            </w:pPr>
          </w:p>
        </w:tc>
        <w:tc>
          <w:tcPr>
            <w:tcW w:w="1586" w:type="dxa"/>
            <w:shd w:val="clear" w:color="auto" w:fill="auto"/>
            <w:noWrap/>
            <w:vAlign w:val="bottom"/>
          </w:tcPr>
          <w:p w:rsidR="003F6A2D" w:rsidRPr="003562CF" w:rsidRDefault="003F6A2D" w:rsidP="001A6FB8">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Electricitate produsă pe combustibil consumat</w:t>
            </w:r>
          </w:p>
        </w:tc>
      </w:tr>
      <w:tr w:rsidR="003F6A2D" w:rsidRPr="003562CF" w:rsidTr="003F6A2D">
        <w:trPr>
          <w:trHeight w:val="292"/>
        </w:trPr>
        <w:tc>
          <w:tcPr>
            <w:tcW w:w="3087" w:type="dxa"/>
            <w:shd w:val="clear" w:color="auto" w:fill="auto"/>
            <w:noWrap/>
            <w:vAlign w:val="bottom"/>
            <w:hideMark/>
          </w:tcPr>
          <w:p w:rsidR="003F6A2D" w:rsidRPr="003562CF" w:rsidRDefault="003F6A2D" w:rsidP="001A6FB8">
            <w:pPr>
              <w:spacing w:after="0" w:line="240" w:lineRule="auto"/>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cărbune</w:t>
            </w:r>
          </w:p>
        </w:tc>
        <w:tc>
          <w:tcPr>
            <w:tcW w:w="1586" w:type="dxa"/>
            <w:shd w:val="clear" w:color="auto" w:fill="auto"/>
            <w:noWrap/>
            <w:vAlign w:val="bottom"/>
          </w:tcPr>
          <w:p w:rsidR="003F6A2D" w:rsidRPr="003562CF" w:rsidRDefault="00466ACD" w:rsidP="001A6FB8">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45%</w:t>
            </w:r>
          </w:p>
        </w:tc>
      </w:tr>
      <w:tr w:rsidR="003F6A2D" w:rsidRPr="003562CF" w:rsidTr="003F6A2D">
        <w:trPr>
          <w:trHeight w:val="292"/>
        </w:trPr>
        <w:tc>
          <w:tcPr>
            <w:tcW w:w="3087" w:type="dxa"/>
            <w:shd w:val="clear" w:color="auto" w:fill="auto"/>
            <w:noWrap/>
            <w:vAlign w:val="bottom"/>
            <w:hideMark/>
          </w:tcPr>
          <w:p w:rsidR="003F6A2D" w:rsidRPr="003562CF" w:rsidRDefault="003F6A2D" w:rsidP="001A6FB8">
            <w:pPr>
              <w:spacing w:after="0" w:line="240" w:lineRule="auto"/>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lignit</w:t>
            </w:r>
          </w:p>
        </w:tc>
        <w:tc>
          <w:tcPr>
            <w:tcW w:w="1586" w:type="dxa"/>
            <w:shd w:val="clear" w:color="auto" w:fill="auto"/>
            <w:noWrap/>
            <w:vAlign w:val="bottom"/>
          </w:tcPr>
          <w:p w:rsidR="003F6A2D" w:rsidRPr="003562CF" w:rsidRDefault="00466ACD" w:rsidP="001A6FB8">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45%</w:t>
            </w:r>
          </w:p>
        </w:tc>
      </w:tr>
      <w:tr w:rsidR="003F6A2D" w:rsidRPr="003562CF" w:rsidTr="003F6A2D">
        <w:trPr>
          <w:trHeight w:val="292"/>
        </w:trPr>
        <w:tc>
          <w:tcPr>
            <w:tcW w:w="3087" w:type="dxa"/>
            <w:shd w:val="clear" w:color="auto" w:fill="auto"/>
            <w:noWrap/>
            <w:vAlign w:val="bottom"/>
            <w:hideMark/>
          </w:tcPr>
          <w:p w:rsidR="003F6A2D" w:rsidRPr="003562CF" w:rsidRDefault="003F6A2D" w:rsidP="001A6FB8">
            <w:pPr>
              <w:spacing w:after="0" w:line="240" w:lineRule="auto"/>
              <w:rPr>
                <w:rFonts w:ascii="Calibri" w:eastAsia="Times New Roman" w:hAnsi="Calibri" w:cs="Calibri"/>
                <w:color w:val="000000"/>
                <w:lang w:val="ro-RO" w:eastAsia="en-GB"/>
              </w:rPr>
            </w:pPr>
            <w:r w:rsidRPr="003562CF">
              <w:rPr>
                <w:rFonts w:ascii="Calibri" w:eastAsia="Times New Roman" w:hAnsi="Calibri" w:cs="Calibri"/>
                <w:color w:val="000000"/>
                <w:lang w:val="ro-RO" w:eastAsia="en-GB"/>
              </w:rPr>
              <w:t>combustibil gazos</w:t>
            </w:r>
          </w:p>
        </w:tc>
        <w:tc>
          <w:tcPr>
            <w:tcW w:w="1586" w:type="dxa"/>
            <w:shd w:val="clear" w:color="auto" w:fill="auto"/>
            <w:noWrap/>
            <w:vAlign w:val="bottom"/>
          </w:tcPr>
          <w:p w:rsidR="003F6A2D" w:rsidRPr="003562CF" w:rsidRDefault="00466ACD" w:rsidP="001A6FB8">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41%</w:t>
            </w:r>
          </w:p>
        </w:tc>
      </w:tr>
      <w:tr w:rsidR="003F6A2D" w:rsidRPr="003562CF" w:rsidTr="003F6A2D">
        <w:trPr>
          <w:trHeight w:val="292"/>
        </w:trPr>
        <w:tc>
          <w:tcPr>
            <w:tcW w:w="3087" w:type="dxa"/>
            <w:shd w:val="clear" w:color="auto" w:fill="auto"/>
            <w:noWrap/>
            <w:vAlign w:val="bottom"/>
            <w:hideMark/>
          </w:tcPr>
          <w:p w:rsidR="003F6A2D" w:rsidRPr="003562CF" w:rsidRDefault="003F6A2D" w:rsidP="001A6FB8">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păcură</w:t>
            </w:r>
          </w:p>
        </w:tc>
        <w:tc>
          <w:tcPr>
            <w:tcW w:w="1586" w:type="dxa"/>
            <w:shd w:val="clear" w:color="auto" w:fill="auto"/>
            <w:noWrap/>
            <w:vAlign w:val="bottom"/>
          </w:tcPr>
          <w:p w:rsidR="003F6A2D" w:rsidRPr="003562CF" w:rsidRDefault="00466ACD" w:rsidP="001A6FB8">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44%</w:t>
            </w:r>
          </w:p>
        </w:tc>
      </w:tr>
      <w:tr w:rsidR="003F6A2D" w:rsidRPr="003562CF" w:rsidTr="003F6A2D">
        <w:trPr>
          <w:trHeight w:val="292"/>
        </w:trPr>
        <w:tc>
          <w:tcPr>
            <w:tcW w:w="3087" w:type="dxa"/>
            <w:shd w:val="clear" w:color="auto" w:fill="auto"/>
            <w:noWrap/>
            <w:vAlign w:val="bottom"/>
          </w:tcPr>
          <w:p w:rsidR="003F6A2D" w:rsidRDefault="003F6A2D" w:rsidP="001A6FB8">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biomasă</w:t>
            </w:r>
          </w:p>
        </w:tc>
        <w:tc>
          <w:tcPr>
            <w:tcW w:w="1586" w:type="dxa"/>
            <w:shd w:val="clear" w:color="auto" w:fill="auto"/>
            <w:noWrap/>
            <w:vAlign w:val="bottom"/>
          </w:tcPr>
          <w:p w:rsidR="003F6A2D" w:rsidRPr="003562CF" w:rsidRDefault="00466ACD" w:rsidP="001A6FB8">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35%</w:t>
            </w:r>
          </w:p>
        </w:tc>
      </w:tr>
    </w:tbl>
    <w:p w:rsidR="000600C1" w:rsidRDefault="000600C1" w:rsidP="002A46E5">
      <w:pPr>
        <w:jc w:val="both"/>
        <w:rPr>
          <w:lang w:val="en-US"/>
        </w:rPr>
      </w:pPr>
    </w:p>
    <w:p w:rsidR="001A6FB8" w:rsidRPr="001A6FB8" w:rsidRDefault="001A6FB8" w:rsidP="001A6FB8">
      <w:pPr>
        <w:jc w:val="both"/>
        <w:rPr>
          <w:lang w:val="ro-RO"/>
        </w:rPr>
      </w:pPr>
      <w:r w:rsidRPr="001A6FB8">
        <w:rPr>
          <w:lang w:val="ro-RO"/>
        </w:rPr>
        <w:t xml:space="preserve">Luând în considerare că 1 GJ = 277.77 kWh, tabelul de emisii pe kWh </w:t>
      </w:r>
      <w:r>
        <w:rPr>
          <w:lang w:val="ro-RO"/>
        </w:rPr>
        <w:t>de electricitate produsă este următorul</w:t>
      </w:r>
      <w:r w:rsidRPr="001A6FB8">
        <w:rPr>
          <w:lang w:val="ro-RO"/>
        </w:rPr>
        <w:t>:</w:t>
      </w:r>
    </w:p>
    <w:tbl>
      <w:tblPr>
        <w:tblW w:w="8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986"/>
        <w:gridCol w:w="1134"/>
        <w:gridCol w:w="992"/>
        <w:gridCol w:w="1133"/>
        <w:gridCol w:w="1020"/>
      </w:tblGrid>
      <w:tr w:rsidR="001A6FB8" w:rsidRPr="001A6FB8" w:rsidTr="001A6FB8">
        <w:trPr>
          <w:trHeight w:val="292"/>
        </w:trPr>
        <w:tc>
          <w:tcPr>
            <w:tcW w:w="3120" w:type="dxa"/>
            <w:shd w:val="clear" w:color="auto" w:fill="auto"/>
            <w:noWrap/>
            <w:vAlign w:val="bottom"/>
            <w:hideMark/>
          </w:tcPr>
          <w:p w:rsidR="001A6FB8" w:rsidRPr="003C07FE" w:rsidRDefault="001A6FB8" w:rsidP="001A6FB8">
            <w:pPr>
              <w:keepNext/>
              <w:spacing w:after="0" w:line="240" w:lineRule="auto"/>
              <w:rPr>
                <w:rFonts w:ascii="Calibri" w:eastAsia="Times New Roman" w:hAnsi="Calibri" w:cs="Calibri"/>
                <w:color w:val="000000"/>
                <w:lang w:val="ro-RO" w:eastAsia="en-GB"/>
              </w:rPr>
            </w:pPr>
            <w:r w:rsidRPr="001A6FB8">
              <w:rPr>
                <w:rFonts w:ascii="Calibri" w:eastAsia="Times New Roman" w:hAnsi="Calibri" w:cs="Calibri"/>
                <w:color w:val="000000"/>
                <w:lang w:val="ro-RO" w:eastAsia="en-GB"/>
              </w:rPr>
              <w:lastRenderedPageBreak/>
              <w:t>pe</w:t>
            </w:r>
            <w:r w:rsidRPr="003C07FE">
              <w:rPr>
                <w:rFonts w:ascii="Calibri" w:eastAsia="Times New Roman" w:hAnsi="Calibri" w:cs="Calibri"/>
                <w:color w:val="000000"/>
                <w:lang w:val="ro-RO" w:eastAsia="en-GB"/>
              </w:rPr>
              <w:t xml:space="preserve"> kWh </w:t>
            </w:r>
            <w:r w:rsidRPr="001A6FB8">
              <w:rPr>
                <w:rFonts w:ascii="Calibri" w:eastAsia="Times New Roman" w:hAnsi="Calibri" w:cs="Calibri"/>
                <w:color w:val="000000"/>
                <w:lang w:val="ro-RO" w:eastAsia="en-GB"/>
              </w:rPr>
              <w:t>de electricitate</w:t>
            </w:r>
            <w:r w:rsidRPr="003C07FE">
              <w:rPr>
                <w:rFonts w:ascii="Calibri" w:eastAsia="Times New Roman" w:hAnsi="Calibri" w:cs="Calibri"/>
                <w:color w:val="000000"/>
                <w:lang w:val="ro-RO" w:eastAsia="en-GB"/>
              </w:rPr>
              <w:t xml:space="preserve"> produ</w:t>
            </w:r>
            <w:r w:rsidRPr="001A6FB8">
              <w:rPr>
                <w:rFonts w:ascii="Calibri" w:eastAsia="Times New Roman" w:hAnsi="Calibri" w:cs="Calibri"/>
                <w:color w:val="000000"/>
                <w:lang w:val="ro-RO" w:eastAsia="en-GB"/>
              </w:rPr>
              <w:t>s</w:t>
            </w:r>
            <w:r>
              <w:rPr>
                <w:rFonts w:ascii="Calibri" w:eastAsia="Times New Roman" w:hAnsi="Calibri" w:cs="Calibri"/>
                <w:color w:val="000000"/>
                <w:lang w:val="ro-RO" w:eastAsia="en-GB"/>
              </w:rPr>
              <w:t>ă</w:t>
            </w:r>
          </w:p>
        </w:tc>
        <w:tc>
          <w:tcPr>
            <w:tcW w:w="986" w:type="dxa"/>
            <w:shd w:val="clear" w:color="auto" w:fill="auto"/>
            <w:noWrap/>
            <w:vAlign w:val="bottom"/>
          </w:tcPr>
          <w:p w:rsidR="001A6FB8" w:rsidRPr="001A6FB8" w:rsidRDefault="001A6FB8" w:rsidP="001A6FB8">
            <w:pPr>
              <w:keepNext/>
              <w:spacing w:after="0" w:line="240" w:lineRule="auto"/>
              <w:rPr>
                <w:rFonts w:ascii="Calibri" w:eastAsia="Times New Roman" w:hAnsi="Calibri" w:cs="Calibri"/>
                <w:color w:val="000000"/>
                <w:lang w:val="ro-RO" w:eastAsia="en-GB"/>
              </w:rPr>
            </w:pPr>
          </w:p>
        </w:tc>
        <w:tc>
          <w:tcPr>
            <w:tcW w:w="1134" w:type="dxa"/>
            <w:shd w:val="clear" w:color="auto" w:fill="auto"/>
            <w:vAlign w:val="bottom"/>
          </w:tcPr>
          <w:p w:rsidR="001A6FB8" w:rsidRPr="001A6FB8" w:rsidRDefault="001A6FB8" w:rsidP="001A6FB8">
            <w:pPr>
              <w:keepNext/>
              <w:spacing w:after="0" w:line="240" w:lineRule="auto"/>
              <w:rPr>
                <w:rFonts w:ascii="Calibri" w:hAnsi="Calibri" w:cs="Calibri"/>
                <w:color w:val="000000"/>
                <w:lang w:val="ro-RO"/>
              </w:rPr>
            </w:pPr>
            <w:proofErr w:type="spellStart"/>
            <w:r w:rsidRPr="001A6FB8">
              <w:rPr>
                <w:rFonts w:ascii="Calibri" w:hAnsi="Calibri" w:cs="Calibri"/>
                <w:color w:val="000000"/>
                <w:lang w:val="ro-RO"/>
              </w:rPr>
              <w:t>NOx</w:t>
            </w:r>
            <w:proofErr w:type="spellEnd"/>
          </w:p>
        </w:tc>
        <w:tc>
          <w:tcPr>
            <w:tcW w:w="992" w:type="dxa"/>
            <w:shd w:val="clear" w:color="auto" w:fill="auto"/>
            <w:vAlign w:val="bottom"/>
          </w:tcPr>
          <w:p w:rsidR="001A6FB8" w:rsidRPr="001A6FB8" w:rsidRDefault="001A6FB8" w:rsidP="001A6FB8">
            <w:pPr>
              <w:keepNext/>
              <w:spacing w:after="0" w:line="240" w:lineRule="auto"/>
              <w:rPr>
                <w:rFonts w:ascii="Calibri" w:hAnsi="Calibri" w:cs="Calibri"/>
                <w:color w:val="000000"/>
                <w:lang w:val="ro-RO"/>
              </w:rPr>
            </w:pPr>
            <w:r w:rsidRPr="001A6FB8">
              <w:rPr>
                <w:rFonts w:ascii="Calibri" w:hAnsi="Calibri" w:cs="Calibri"/>
                <w:color w:val="000000"/>
                <w:lang w:val="ro-RO"/>
              </w:rPr>
              <w:t>NMVOC</w:t>
            </w:r>
          </w:p>
        </w:tc>
        <w:tc>
          <w:tcPr>
            <w:tcW w:w="1133" w:type="dxa"/>
            <w:shd w:val="clear" w:color="auto" w:fill="auto"/>
            <w:noWrap/>
            <w:vAlign w:val="bottom"/>
            <w:hideMark/>
          </w:tcPr>
          <w:p w:rsidR="001A6FB8" w:rsidRPr="001A6FB8" w:rsidRDefault="001A6FB8" w:rsidP="001A6FB8">
            <w:pPr>
              <w:keepNext/>
              <w:spacing w:after="0" w:line="240" w:lineRule="auto"/>
              <w:rPr>
                <w:rFonts w:ascii="Calibri" w:hAnsi="Calibri" w:cs="Calibri"/>
                <w:color w:val="000000"/>
                <w:lang w:val="ro-RO"/>
              </w:rPr>
            </w:pPr>
            <w:r w:rsidRPr="001A6FB8">
              <w:rPr>
                <w:rFonts w:ascii="Calibri" w:hAnsi="Calibri" w:cs="Calibri"/>
                <w:color w:val="000000"/>
                <w:lang w:val="ro-RO"/>
              </w:rPr>
              <w:t>SO2</w:t>
            </w:r>
          </w:p>
        </w:tc>
        <w:tc>
          <w:tcPr>
            <w:tcW w:w="1020" w:type="dxa"/>
            <w:shd w:val="clear" w:color="auto" w:fill="auto"/>
            <w:noWrap/>
            <w:vAlign w:val="bottom"/>
            <w:hideMark/>
          </w:tcPr>
          <w:p w:rsidR="001A6FB8" w:rsidRPr="001A6FB8" w:rsidRDefault="001A6FB8" w:rsidP="001A6FB8">
            <w:pPr>
              <w:keepNext/>
              <w:spacing w:after="0" w:line="240" w:lineRule="auto"/>
              <w:rPr>
                <w:rFonts w:ascii="Calibri" w:hAnsi="Calibri" w:cs="Calibri"/>
                <w:color w:val="000000"/>
                <w:lang w:val="ro-RO"/>
              </w:rPr>
            </w:pPr>
            <w:r w:rsidRPr="001A6FB8">
              <w:rPr>
                <w:rFonts w:ascii="Calibri" w:hAnsi="Calibri" w:cs="Calibri"/>
                <w:color w:val="000000"/>
                <w:lang w:val="ro-RO"/>
              </w:rPr>
              <w:t>PM</w:t>
            </w:r>
          </w:p>
        </w:tc>
      </w:tr>
      <w:tr w:rsidR="001A6FB8" w:rsidRPr="003C07FE" w:rsidTr="001A6FB8">
        <w:trPr>
          <w:trHeight w:val="292"/>
        </w:trPr>
        <w:tc>
          <w:tcPr>
            <w:tcW w:w="3120" w:type="dxa"/>
            <w:shd w:val="clear" w:color="auto" w:fill="auto"/>
            <w:noWrap/>
            <w:vAlign w:val="bottom"/>
            <w:hideMark/>
          </w:tcPr>
          <w:p w:rsidR="001A6FB8" w:rsidRPr="003C07FE" w:rsidRDefault="001A6FB8" w:rsidP="001A6FB8">
            <w:pPr>
              <w:keepNext/>
              <w:spacing w:after="0" w:line="240" w:lineRule="auto"/>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cărbune</w:t>
            </w:r>
          </w:p>
        </w:tc>
        <w:tc>
          <w:tcPr>
            <w:tcW w:w="986" w:type="dxa"/>
            <w:shd w:val="clear" w:color="auto" w:fill="auto"/>
            <w:noWrap/>
            <w:vAlign w:val="bottom"/>
            <w:hideMark/>
          </w:tcPr>
          <w:p w:rsidR="001A6FB8" w:rsidRPr="003C07FE" w:rsidRDefault="001A6FB8" w:rsidP="001A6FB8">
            <w:pPr>
              <w:keepNext/>
              <w:spacing w:after="0" w:line="240" w:lineRule="auto"/>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g/kWh</w:t>
            </w:r>
          </w:p>
        </w:tc>
        <w:tc>
          <w:tcPr>
            <w:tcW w:w="1134" w:type="dxa"/>
            <w:shd w:val="clear" w:color="auto" w:fill="auto"/>
            <w:noWrap/>
            <w:vAlign w:val="bottom"/>
            <w:hideMark/>
          </w:tcPr>
          <w:p w:rsidR="001A6FB8" w:rsidRPr="003C07FE" w:rsidRDefault="001A6FB8" w:rsidP="001A6FB8">
            <w:pPr>
              <w:keepNext/>
              <w:spacing w:after="0" w:line="240" w:lineRule="auto"/>
              <w:jc w:val="right"/>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1.67</w:t>
            </w:r>
          </w:p>
        </w:tc>
        <w:tc>
          <w:tcPr>
            <w:tcW w:w="992" w:type="dxa"/>
            <w:shd w:val="clear" w:color="auto" w:fill="auto"/>
            <w:noWrap/>
            <w:vAlign w:val="bottom"/>
            <w:hideMark/>
          </w:tcPr>
          <w:p w:rsidR="001A6FB8" w:rsidRPr="003C07FE" w:rsidRDefault="001A6FB8" w:rsidP="001A6FB8">
            <w:pPr>
              <w:keepNext/>
              <w:spacing w:after="0" w:line="240" w:lineRule="auto"/>
              <w:jc w:val="right"/>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0.01</w:t>
            </w:r>
          </w:p>
        </w:tc>
        <w:tc>
          <w:tcPr>
            <w:tcW w:w="1133" w:type="dxa"/>
            <w:shd w:val="clear" w:color="auto" w:fill="auto"/>
            <w:noWrap/>
            <w:vAlign w:val="bottom"/>
            <w:hideMark/>
          </w:tcPr>
          <w:p w:rsidR="001A6FB8" w:rsidRPr="003C07FE" w:rsidRDefault="001A6FB8" w:rsidP="001A6FB8">
            <w:pPr>
              <w:keepNext/>
              <w:spacing w:after="0" w:line="240" w:lineRule="auto"/>
              <w:jc w:val="right"/>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6.56</w:t>
            </w:r>
          </w:p>
        </w:tc>
        <w:tc>
          <w:tcPr>
            <w:tcW w:w="1020" w:type="dxa"/>
            <w:shd w:val="clear" w:color="auto" w:fill="auto"/>
            <w:noWrap/>
            <w:vAlign w:val="bottom"/>
            <w:hideMark/>
          </w:tcPr>
          <w:p w:rsidR="001A6FB8" w:rsidRPr="003C07FE" w:rsidRDefault="001A6FB8" w:rsidP="001A6FB8">
            <w:pPr>
              <w:keepNext/>
              <w:spacing w:after="0" w:line="240" w:lineRule="auto"/>
              <w:jc w:val="right"/>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0.09</w:t>
            </w:r>
          </w:p>
        </w:tc>
      </w:tr>
      <w:tr w:rsidR="001A6FB8" w:rsidRPr="003C07FE" w:rsidTr="001A6FB8">
        <w:trPr>
          <w:trHeight w:val="292"/>
        </w:trPr>
        <w:tc>
          <w:tcPr>
            <w:tcW w:w="3120" w:type="dxa"/>
            <w:shd w:val="clear" w:color="auto" w:fill="auto"/>
            <w:noWrap/>
            <w:vAlign w:val="bottom"/>
            <w:hideMark/>
          </w:tcPr>
          <w:p w:rsidR="001A6FB8" w:rsidRPr="003C07FE" w:rsidRDefault="001A6FB8" w:rsidP="001A6FB8">
            <w:pPr>
              <w:spacing w:after="0" w:line="240" w:lineRule="auto"/>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lignit</w:t>
            </w:r>
          </w:p>
        </w:tc>
        <w:tc>
          <w:tcPr>
            <w:tcW w:w="986" w:type="dxa"/>
            <w:shd w:val="clear" w:color="auto" w:fill="auto"/>
            <w:noWrap/>
            <w:vAlign w:val="bottom"/>
            <w:hideMark/>
          </w:tcPr>
          <w:p w:rsidR="001A6FB8" w:rsidRPr="003C07FE" w:rsidRDefault="001A6FB8" w:rsidP="001A6FB8">
            <w:pPr>
              <w:spacing w:after="0" w:line="240" w:lineRule="auto"/>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g/kWh</w:t>
            </w:r>
          </w:p>
        </w:tc>
        <w:tc>
          <w:tcPr>
            <w:tcW w:w="1134" w:type="dxa"/>
            <w:shd w:val="clear" w:color="auto" w:fill="auto"/>
            <w:noWrap/>
            <w:vAlign w:val="bottom"/>
            <w:hideMark/>
          </w:tcPr>
          <w:p w:rsidR="001A6FB8" w:rsidRPr="003C07FE" w:rsidRDefault="001A6FB8" w:rsidP="001A6FB8">
            <w:pPr>
              <w:spacing w:after="0" w:line="240" w:lineRule="auto"/>
              <w:jc w:val="right"/>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1.98</w:t>
            </w:r>
          </w:p>
        </w:tc>
        <w:tc>
          <w:tcPr>
            <w:tcW w:w="992" w:type="dxa"/>
            <w:shd w:val="clear" w:color="auto" w:fill="auto"/>
            <w:noWrap/>
            <w:vAlign w:val="bottom"/>
            <w:hideMark/>
          </w:tcPr>
          <w:p w:rsidR="001A6FB8" w:rsidRPr="003C07FE" w:rsidRDefault="001A6FB8" w:rsidP="001A6FB8">
            <w:pPr>
              <w:spacing w:after="0" w:line="240" w:lineRule="auto"/>
              <w:jc w:val="right"/>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0.01</w:t>
            </w:r>
          </w:p>
        </w:tc>
        <w:tc>
          <w:tcPr>
            <w:tcW w:w="1133" w:type="dxa"/>
            <w:shd w:val="clear" w:color="auto" w:fill="auto"/>
            <w:noWrap/>
            <w:vAlign w:val="bottom"/>
            <w:hideMark/>
          </w:tcPr>
          <w:p w:rsidR="001A6FB8" w:rsidRPr="003C07FE" w:rsidRDefault="001A6FB8" w:rsidP="001A6FB8">
            <w:pPr>
              <w:spacing w:after="0" w:line="240" w:lineRule="auto"/>
              <w:jc w:val="right"/>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13.44</w:t>
            </w:r>
          </w:p>
        </w:tc>
        <w:tc>
          <w:tcPr>
            <w:tcW w:w="1020" w:type="dxa"/>
            <w:shd w:val="clear" w:color="auto" w:fill="auto"/>
            <w:noWrap/>
            <w:vAlign w:val="bottom"/>
            <w:hideMark/>
          </w:tcPr>
          <w:p w:rsidR="001A6FB8" w:rsidRPr="003C07FE" w:rsidRDefault="001A6FB8" w:rsidP="001A6FB8">
            <w:pPr>
              <w:spacing w:after="0" w:line="240" w:lineRule="auto"/>
              <w:jc w:val="right"/>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0.09</w:t>
            </w:r>
          </w:p>
        </w:tc>
      </w:tr>
      <w:tr w:rsidR="001A6FB8" w:rsidRPr="003C07FE" w:rsidTr="001A6FB8">
        <w:trPr>
          <w:trHeight w:val="292"/>
        </w:trPr>
        <w:tc>
          <w:tcPr>
            <w:tcW w:w="3120" w:type="dxa"/>
            <w:shd w:val="clear" w:color="auto" w:fill="auto"/>
            <w:noWrap/>
            <w:vAlign w:val="bottom"/>
            <w:hideMark/>
          </w:tcPr>
          <w:p w:rsidR="001A6FB8" w:rsidRPr="003C07FE" w:rsidRDefault="001A6FB8" w:rsidP="001A6FB8">
            <w:pPr>
              <w:spacing w:after="0" w:line="240" w:lineRule="auto"/>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combustibil gazos</w:t>
            </w:r>
          </w:p>
        </w:tc>
        <w:tc>
          <w:tcPr>
            <w:tcW w:w="986" w:type="dxa"/>
            <w:shd w:val="clear" w:color="auto" w:fill="auto"/>
            <w:noWrap/>
            <w:vAlign w:val="bottom"/>
            <w:hideMark/>
          </w:tcPr>
          <w:p w:rsidR="001A6FB8" w:rsidRPr="003C07FE" w:rsidRDefault="001A6FB8" w:rsidP="001A6FB8">
            <w:pPr>
              <w:spacing w:after="0" w:line="240" w:lineRule="auto"/>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g/kWh</w:t>
            </w:r>
          </w:p>
        </w:tc>
        <w:tc>
          <w:tcPr>
            <w:tcW w:w="1134" w:type="dxa"/>
            <w:shd w:val="clear" w:color="auto" w:fill="auto"/>
            <w:noWrap/>
            <w:vAlign w:val="bottom"/>
            <w:hideMark/>
          </w:tcPr>
          <w:p w:rsidR="001A6FB8" w:rsidRPr="003C07FE" w:rsidRDefault="001A6FB8" w:rsidP="001A6FB8">
            <w:pPr>
              <w:spacing w:after="0" w:line="240" w:lineRule="auto"/>
              <w:jc w:val="right"/>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0.78</w:t>
            </w:r>
          </w:p>
        </w:tc>
        <w:tc>
          <w:tcPr>
            <w:tcW w:w="992" w:type="dxa"/>
            <w:shd w:val="clear" w:color="auto" w:fill="auto"/>
            <w:noWrap/>
            <w:vAlign w:val="bottom"/>
            <w:hideMark/>
          </w:tcPr>
          <w:p w:rsidR="001A6FB8" w:rsidRPr="003C07FE" w:rsidRDefault="001A6FB8" w:rsidP="001A6FB8">
            <w:pPr>
              <w:spacing w:after="0" w:line="240" w:lineRule="auto"/>
              <w:jc w:val="right"/>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0.02</w:t>
            </w:r>
          </w:p>
        </w:tc>
        <w:tc>
          <w:tcPr>
            <w:tcW w:w="1133" w:type="dxa"/>
            <w:shd w:val="clear" w:color="auto" w:fill="auto"/>
            <w:noWrap/>
            <w:vAlign w:val="bottom"/>
            <w:hideMark/>
          </w:tcPr>
          <w:p w:rsidR="001A6FB8" w:rsidRPr="003C07FE" w:rsidRDefault="001A6FB8" w:rsidP="001A6FB8">
            <w:pPr>
              <w:spacing w:after="0" w:line="240" w:lineRule="auto"/>
              <w:jc w:val="right"/>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0.00</w:t>
            </w:r>
          </w:p>
        </w:tc>
        <w:tc>
          <w:tcPr>
            <w:tcW w:w="1020" w:type="dxa"/>
            <w:shd w:val="clear" w:color="auto" w:fill="auto"/>
            <w:noWrap/>
            <w:vAlign w:val="bottom"/>
            <w:hideMark/>
          </w:tcPr>
          <w:p w:rsidR="001A6FB8" w:rsidRPr="003C07FE" w:rsidRDefault="001A6FB8" w:rsidP="001A6FB8">
            <w:pPr>
              <w:spacing w:after="0" w:line="240" w:lineRule="auto"/>
              <w:jc w:val="right"/>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0.02</w:t>
            </w:r>
          </w:p>
        </w:tc>
      </w:tr>
      <w:tr w:rsidR="001A6FB8" w:rsidRPr="003C07FE" w:rsidTr="001A6FB8">
        <w:trPr>
          <w:trHeight w:val="292"/>
        </w:trPr>
        <w:tc>
          <w:tcPr>
            <w:tcW w:w="3120" w:type="dxa"/>
            <w:shd w:val="clear" w:color="auto" w:fill="auto"/>
            <w:noWrap/>
            <w:vAlign w:val="bottom"/>
            <w:hideMark/>
          </w:tcPr>
          <w:p w:rsidR="001A6FB8" w:rsidRPr="003C07FE" w:rsidRDefault="001A6FB8" w:rsidP="001A6FB8">
            <w:pPr>
              <w:spacing w:after="0" w:line="240" w:lineRule="auto"/>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păcură</w:t>
            </w:r>
          </w:p>
        </w:tc>
        <w:tc>
          <w:tcPr>
            <w:tcW w:w="986" w:type="dxa"/>
            <w:shd w:val="clear" w:color="auto" w:fill="auto"/>
            <w:noWrap/>
            <w:vAlign w:val="bottom"/>
            <w:hideMark/>
          </w:tcPr>
          <w:p w:rsidR="001A6FB8" w:rsidRPr="003C07FE" w:rsidRDefault="001A6FB8" w:rsidP="001A6FB8">
            <w:pPr>
              <w:spacing w:after="0" w:line="240" w:lineRule="auto"/>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g/kWh</w:t>
            </w:r>
          </w:p>
        </w:tc>
        <w:tc>
          <w:tcPr>
            <w:tcW w:w="1134" w:type="dxa"/>
            <w:shd w:val="clear" w:color="auto" w:fill="auto"/>
            <w:noWrap/>
            <w:vAlign w:val="bottom"/>
            <w:hideMark/>
          </w:tcPr>
          <w:p w:rsidR="001A6FB8" w:rsidRPr="003C07FE" w:rsidRDefault="001A6FB8" w:rsidP="001A6FB8">
            <w:pPr>
              <w:spacing w:after="0" w:line="240" w:lineRule="auto"/>
              <w:jc w:val="right"/>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1.16</w:t>
            </w:r>
          </w:p>
        </w:tc>
        <w:tc>
          <w:tcPr>
            <w:tcW w:w="992" w:type="dxa"/>
            <w:shd w:val="clear" w:color="auto" w:fill="auto"/>
            <w:noWrap/>
            <w:vAlign w:val="bottom"/>
            <w:hideMark/>
          </w:tcPr>
          <w:p w:rsidR="001A6FB8" w:rsidRPr="003C07FE" w:rsidRDefault="001A6FB8" w:rsidP="001A6FB8">
            <w:pPr>
              <w:spacing w:after="0" w:line="240" w:lineRule="auto"/>
              <w:jc w:val="right"/>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0.02</w:t>
            </w:r>
          </w:p>
        </w:tc>
        <w:tc>
          <w:tcPr>
            <w:tcW w:w="1133" w:type="dxa"/>
            <w:shd w:val="clear" w:color="auto" w:fill="auto"/>
            <w:noWrap/>
            <w:vAlign w:val="bottom"/>
            <w:hideMark/>
          </w:tcPr>
          <w:p w:rsidR="001A6FB8" w:rsidRPr="003C07FE" w:rsidRDefault="001A6FB8" w:rsidP="001A6FB8">
            <w:pPr>
              <w:spacing w:after="0" w:line="240" w:lineRule="auto"/>
              <w:jc w:val="right"/>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4.05</w:t>
            </w:r>
          </w:p>
        </w:tc>
        <w:tc>
          <w:tcPr>
            <w:tcW w:w="1020" w:type="dxa"/>
            <w:shd w:val="clear" w:color="auto" w:fill="auto"/>
            <w:noWrap/>
            <w:vAlign w:val="bottom"/>
            <w:hideMark/>
          </w:tcPr>
          <w:p w:rsidR="001A6FB8" w:rsidRPr="003C07FE" w:rsidRDefault="001A6FB8" w:rsidP="001A6FB8">
            <w:pPr>
              <w:spacing w:after="0" w:line="240" w:lineRule="auto"/>
              <w:jc w:val="right"/>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0.36</w:t>
            </w:r>
          </w:p>
        </w:tc>
      </w:tr>
      <w:tr w:rsidR="001A6FB8" w:rsidRPr="003C07FE" w:rsidTr="001A6FB8">
        <w:trPr>
          <w:trHeight w:val="292"/>
        </w:trPr>
        <w:tc>
          <w:tcPr>
            <w:tcW w:w="3120" w:type="dxa"/>
            <w:shd w:val="clear" w:color="auto" w:fill="auto"/>
            <w:noWrap/>
            <w:vAlign w:val="bottom"/>
            <w:hideMark/>
          </w:tcPr>
          <w:p w:rsidR="001A6FB8" w:rsidRPr="003C07FE" w:rsidRDefault="001A6FB8" w:rsidP="001A6FB8">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biomasă</w:t>
            </w:r>
          </w:p>
        </w:tc>
        <w:tc>
          <w:tcPr>
            <w:tcW w:w="986" w:type="dxa"/>
            <w:shd w:val="clear" w:color="auto" w:fill="auto"/>
            <w:noWrap/>
            <w:vAlign w:val="bottom"/>
            <w:hideMark/>
          </w:tcPr>
          <w:p w:rsidR="001A6FB8" w:rsidRPr="003C07FE" w:rsidRDefault="001A6FB8" w:rsidP="001A6FB8">
            <w:pPr>
              <w:spacing w:after="0" w:line="240" w:lineRule="auto"/>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g/kWh</w:t>
            </w:r>
          </w:p>
        </w:tc>
        <w:tc>
          <w:tcPr>
            <w:tcW w:w="1134" w:type="dxa"/>
            <w:shd w:val="clear" w:color="auto" w:fill="auto"/>
            <w:noWrap/>
            <w:vAlign w:val="bottom"/>
            <w:hideMark/>
          </w:tcPr>
          <w:p w:rsidR="001A6FB8" w:rsidRPr="003C07FE" w:rsidRDefault="001A6FB8" w:rsidP="001A6FB8">
            <w:pPr>
              <w:spacing w:after="0" w:line="240" w:lineRule="auto"/>
              <w:jc w:val="right"/>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0.83</w:t>
            </w:r>
          </w:p>
        </w:tc>
        <w:tc>
          <w:tcPr>
            <w:tcW w:w="992" w:type="dxa"/>
            <w:shd w:val="clear" w:color="auto" w:fill="auto"/>
            <w:noWrap/>
            <w:vAlign w:val="bottom"/>
            <w:hideMark/>
          </w:tcPr>
          <w:p w:rsidR="001A6FB8" w:rsidRPr="003C07FE" w:rsidRDefault="001A6FB8" w:rsidP="001A6FB8">
            <w:pPr>
              <w:spacing w:after="0" w:line="240" w:lineRule="auto"/>
              <w:jc w:val="right"/>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0.08</w:t>
            </w:r>
          </w:p>
        </w:tc>
        <w:tc>
          <w:tcPr>
            <w:tcW w:w="1133" w:type="dxa"/>
            <w:shd w:val="clear" w:color="auto" w:fill="auto"/>
            <w:noWrap/>
            <w:vAlign w:val="bottom"/>
            <w:hideMark/>
          </w:tcPr>
          <w:p w:rsidR="001A6FB8" w:rsidRPr="003C07FE" w:rsidRDefault="001A6FB8" w:rsidP="001A6FB8">
            <w:pPr>
              <w:spacing w:after="0" w:line="240" w:lineRule="auto"/>
              <w:jc w:val="right"/>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0.11</w:t>
            </w:r>
          </w:p>
        </w:tc>
        <w:tc>
          <w:tcPr>
            <w:tcW w:w="1020" w:type="dxa"/>
            <w:shd w:val="clear" w:color="auto" w:fill="auto"/>
            <w:noWrap/>
            <w:vAlign w:val="bottom"/>
            <w:hideMark/>
          </w:tcPr>
          <w:p w:rsidR="001A6FB8" w:rsidRPr="003C07FE" w:rsidRDefault="001A6FB8" w:rsidP="001A6FB8">
            <w:pPr>
              <w:spacing w:after="0" w:line="240" w:lineRule="auto"/>
              <w:jc w:val="right"/>
              <w:rPr>
                <w:rFonts w:ascii="Calibri" w:eastAsia="Times New Roman" w:hAnsi="Calibri" w:cs="Calibri"/>
                <w:color w:val="000000"/>
                <w:lang w:val="ro-RO" w:eastAsia="en-GB"/>
              </w:rPr>
            </w:pPr>
            <w:r w:rsidRPr="003C07FE">
              <w:rPr>
                <w:rFonts w:ascii="Calibri" w:eastAsia="Times New Roman" w:hAnsi="Calibri" w:cs="Calibri"/>
                <w:color w:val="000000"/>
                <w:lang w:val="ro-RO" w:eastAsia="en-GB"/>
              </w:rPr>
              <w:t>2.96</w:t>
            </w:r>
          </w:p>
        </w:tc>
      </w:tr>
    </w:tbl>
    <w:p w:rsidR="003C07FE" w:rsidRPr="001A6FB8" w:rsidRDefault="003C07FE" w:rsidP="002A46E5">
      <w:pPr>
        <w:jc w:val="both"/>
        <w:rPr>
          <w:lang w:val="ro-RO"/>
        </w:rPr>
      </w:pPr>
    </w:p>
    <w:p w:rsidR="001A6FB8" w:rsidRDefault="001A6FB8" w:rsidP="002A46E5">
      <w:pPr>
        <w:jc w:val="both"/>
        <w:rPr>
          <w:lang w:val="ro-RO"/>
        </w:rPr>
      </w:pPr>
      <w:r w:rsidRPr="001A6FB8">
        <w:rPr>
          <w:lang w:val="ro-RO"/>
        </w:rPr>
        <w:t xml:space="preserve">Luând în considerare ponderea fiecărui tip de combustibil în </w:t>
      </w:r>
      <w:proofErr w:type="spellStart"/>
      <w:r w:rsidRPr="001A6FB8">
        <w:rPr>
          <w:lang w:val="ro-RO"/>
        </w:rPr>
        <w:t>mixul</w:t>
      </w:r>
      <w:proofErr w:type="spellEnd"/>
      <w:r w:rsidRPr="001A6FB8">
        <w:rPr>
          <w:lang w:val="ro-RO"/>
        </w:rPr>
        <w:t xml:space="preserve"> energetic din România, ajungem la următoarele valori</w:t>
      </w:r>
      <w:r>
        <w:rPr>
          <w:lang w:val="ro-RO"/>
        </w:rPr>
        <w:t>, pentru 1 kWh de electricitate produsă:</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850"/>
        <w:gridCol w:w="1005"/>
        <w:gridCol w:w="1121"/>
        <w:gridCol w:w="851"/>
        <w:gridCol w:w="992"/>
        <w:gridCol w:w="851"/>
      </w:tblGrid>
      <w:tr w:rsidR="00393B5B" w:rsidRPr="003562CF" w:rsidTr="0022435A">
        <w:trPr>
          <w:trHeight w:val="292"/>
        </w:trPr>
        <w:tc>
          <w:tcPr>
            <w:tcW w:w="2689" w:type="dxa"/>
            <w:shd w:val="clear" w:color="auto" w:fill="auto"/>
            <w:noWrap/>
            <w:vAlign w:val="bottom"/>
          </w:tcPr>
          <w:p w:rsidR="00393B5B" w:rsidRPr="003562CF" w:rsidRDefault="00393B5B" w:rsidP="001A6FB8">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Electricitate produsă</w:t>
            </w:r>
          </w:p>
        </w:tc>
        <w:tc>
          <w:tcPr>
            <w:tcW w:w="850" w:type="dxa"/>
            <w:shd w:val="clear" w:color="auto" w:fill="auto"/>
            <w:noWrap/>
            <w:vAlign w:val="bottom"/>
          </w:tcPr>
          <w:p w:rsidR="00393B5B" w:rsidRPr="003562CF" w:rsidRDefault="00393B5B" w:rsidP="001A6FB8">
            <w:pPr>
              <w:spacing w:after="0" w:line="240" w:lineRule="auto"/>
              <w:rPr>
                <w:rFonts w:ascii="Calibri" w:eastAsia="Times New Roman" w:hAnsi="Calibri" w:cs="Calibri"/>
                <w:color w:val="000000"/>
                <w:lang w:val="ro-RO" w:eastAsia="en-GB"/>
              </w:rPr>
            </w:pPr>
          </w:p>
        </w:tc>
        <w:tc>
          <w:tcPr>
            <w:tcW w:w="1005" w:type="dxa"/>
            <w:shd w:val="clear" w:color="auto" w:fill="auto"/>
            <w:noWrap/>
            <w:vAlign w:val="bottom"/>
          </w:tcPr>
          <w:p w:rsidR="00393B5B" w:rsidRDefault="00393B5B" w:rsidP="001A6FB8">
            <w:pPr>
              <w:spacing w:after="0" w:line="240" w:lineRule="auto"/>
              <w:rPr>
                <w:rFonts w:ascii="Calibri" w:hAnsi="Calibri" w:cs="Calibri"/>
                <w:color w:val="000000"/>
              </w:rPr>
            </w:pPr>
            <w:r>
              <w:rPr>
                <w:rFonts w:ascii="Calibri" w:hAnsi="Calibri" w:cs="Calibri"/>
                <w:color w:val="000000"/>
              </w:rPr>
              <w:t>NOx</w:t>
            </w:r>
          </w:p>
        </w:tc>
        <w:tc>
          <w:tcPr>
            <w:tcW w:w="1121" w:type="dxa"/>
            <w:shd w:val="clear" w:color="auto" w:fill="auto"/>
            <w:noWrap/>
            <w:vAlign w:val="bottom"/>
          </w:tcPr>
          <w:p w:rsidR="00393B5B" w:rsidRDefault="00393B5B" w:rsidP="001A6FB8">
            <w:pPr>
              <w:spacing w:after="0" w:line="240" w:lineRule="auto"/>
              <w:rPr>
                <w:rFonts w:ascii="Calibri" w:hAnsi="Calibri" w:cs="Calibri"/>
                <w:color w:val="000000"/>
              </w:rPr>
            </w:pPr>
            <w:r>
              <w:rPr>
                <w:rFonts w:ascii="Calibri" w:hAnsi="Calibri" w:cs="Calibri"/>
                <w:color w:val="000000"/>
              </w:rPr>
              <w:t>NMVOC</w:t>
            </w:r>
          </w:p>
        </w:tc>
        <w:tc>
          <w:tcPr>
            <w:tcW w:w="851" w:type="dxa"/>
            <w:shd w:val="clear" w:color="auto" w:fill="auto"/>
            <w:noWrap/>
            <w:vAlign w:val="bottom"/>
          </w:tcPr>
          <w:p w:rsidR="00393B5B" w:rsidRDefault="00393B5B" w:rsidP="001A6FB8">
            <w:pPr>
              <w:spacing w:after="0" w:line="240" w:lineRule="auto"/>
              <w:rPr>
                <w:rFonts w:ascii="Calibri" w:hAnsi="Calibri" w:cs="Calibri"/>
                <w:color w:val="000000"/>
              </w:rPr>
            </w:pPr>
            <w:r>
              <w:rPr>
                <w:rFonts w:ascii="Calibri" w:hAnsi="Calibri" w:cs="Calibri"/>
                <w:color w:val="000000"/>
              </w:rPr>
              <w:t>SO2</w:t>
            </w:r>
          </w:p>
        </w:tc>
        <w:tc>
          <w:tcPr>
            <w:tcW w:w="992" w:type="dxa"/>
            <w:shd w:val="clear" w:color="auto" w:fill="auto"/>
            <w:noWrap/>
            <w:vAlign w:val="bottom"/>
          </w:tcPr>
          <w:p w:rsidR="00393B5B" w:rsidRDefault="00393B5B" w:rsidP="001A6FB8">
            <w:pPr>
              <w:spacing w:after="0" w:line="240" w:lineRule="auto"/>
              <w:rPr>
                <w:rFonts w:ascii="Calibri" w:hAnsi="Calibri" w:cs="Calibri"/>
                <w:color w:val="000000"/>
              </w:rPr>
            </w:pPr>
            <w:r>
              <w:rPr>
                <w:rFonts w:ascii="Calibri" w:hAnsi="Calibri" w:cs="Calibri"/>
                <w:color w:val="000000"/>
              </w:rPr>
              <w:t>PM</w:t>
            </w:r>
          </w:p>
        </w:tc>
        <w:tc>
          <w:tcPr>
            <w:tcW w:w="851" w:type="dxa"/>
            <w:vAlign w:val="center"/>
          </w:tcPr>
          <w:p w:rsidR="00393B5B" w:rsidRDefault="00393B5B" w:rsidP="0022435A">
            <w:pPr>
              <w:spacing w:after="0" w:line="240" w:lineRule="auto"/>
              <w:rPr>
                <w:rFonts w:ascii="Calibri" w:hAnsi="Calibri" w:cs="Calibri"/>
                <w:color w:val="000000"/>
              </w:rPr>
            </w:pPr>
            <w:r>
              <w:rPr>
                <w:rFonts w:ascii="Calibri" w:hAnsi="Calibri" w:cs="Calibri"/>
                <w:color w:val="000000"/>
              </w:rPr>
              <w:t>CO2</w:t>
            </w:r>
          </w:p>
        </w:tc>
      </w:tr>
      <w:tr w:rsidR="00393B5B" w:rsidRPr="003562CF" w:rsidTr="0022435A">
        <w:trPr>
          <w:trHeight w:val="292"/>
        </w:trPr>
        <w:tc>
          <w:tcPr>
            <w:tcW w:w="2689" w:type="dxa"/>
            <w:shd w:val="clear" w:color="auto" w:fill="auto"/>
            <w:noWrap/>
            <w:vAlign w:val="bottom"/>
            <w:hideMark/>
          </w:tcPr>
          <w:p w:rsidR="00393B5B" w:rsidRPr="003562CF" w:rsidRDefault="00393B5B" w:rsidP="00393B5B">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Electricitate (medie)</w:t>
            </w:r>
          </w:p>
        </w:tc>
        <w:tc>
          <w:tcPr>
            <w:tcW w:w="850" w:type="dxa"/>
            <w:shd w:val="clear" w:color="auto" w:fill="auto"/>
            <w:noWrap/>
            <w:vAlign w:val="bottom"/>
            <w:hideMark/>
          </w:tcPr>
          <w:p w:rsidR="00393B5B" w:rsidRPr="003562CF" w:rsidRDefault="00393B5B" w:rsidP="00393B5B">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g/kWh</w:t>
            </w:r>
          </w:p>
        </w:tc>
        <w:tc>
          <w:tcPr>
            <w:tcW w:w="1005" w:type="dxa"/>
            <w:shd w:val="clear" w:color="auto" w:fill="auto"/>
            <w:noWrap/>
            <w:vAlign w:val="bottom"/>
          </w:tcPr>
          <w:p w:rsidR="00393B5B" w:rsidRDefault="00393B5B" w:rsidP="00393B5B">
            <w:pPr>
              <w:spacing w:after="0" w:line="240" w:lineRule="auto"/>
              <w:jc w:val="right"/>
              <w:rPr>
                <w:rFonts w:ascii="Calibri" w:hAnsi="Calibri" w:cs="Calibri"/>
                <w:color w:val="000000"/>
              </w:rPr>
            </w:pPr>
            <w:r>
              <w:rPr>
                <w:rFonts w:ascii="Calibri" w:hAnsi="Calibri" w:cs="Calibri"/>
                <w:color w:val="000000"/>
              </w:rPr>
              <w:t>0.665</w:t>
            </w:r>
          </w:p>
        </w:tc>
        <w:tc>
          <w:tcPr>
            <w:tcW w:w="1121" w:type="dxa"/>
            <w:shd w:val="clear" w:color="auto" w:fill="auto"/>
            <w:noWrap/>
            <w:vAlign w:val="bottom"/>
          </w:tcPr>
          <w:p w:rsidR="00393B5B" w:rsidRDefault="00393B5B" w:rsidP="00393B5B">
            <w:pPr>
              <w:spacing w:after="0" w:line="240" w:lineRule="auto"/>
              <w:jc w:val="right"/>
              <w:rPr>
                <w:rFonts w:ascii="Calibri" w:hAnsi="Calibri" w:cs="Calibri"/>
                <w:color w:val="000000"/>
              </w:rPr>
            </w:pPr>
            <w:r>
              <w:rPr>
                <w:rFonts w:ascii="Calibri" w:hAnsi="Calibri" w:cs="Calibri"/>
                <w:color w:val="000000"/>
              </w:rPr>
              <w:t>0.007</w:t>
            </w:r>
          </w:p>
        </w:tc>
        <w:tc>
          <w:tcPr>
            <w:tcW w:w="851" w:type="dxa"/>
            <w:shd w:val="clear" w:color="auto" w:fill="auto"/>
            <w:noWrap/>
            <w:vAlign w:val="bottom"/>
          </w:tcPr>
          <w:p w:rsidR="00393B5B" w:rsidRDefault="00393B5B" w:rsidP="00393B5B">
            <w:pPr>
              <w:spacing w:after="0" w:line="240" w:lineRule="auto"/>
              <w:jc w:val="right"/>
              <w:rPr>
                <w:rFonts w:ascii="Calibri" w:hAnsi="Calibri" w:cs="Calibri"/>
                <w:color w:val="000000"/>
              </w:rPr>
            </w:pPr>
            <w:r>
              <w:rPr>
                <w:rFonts w:ascii="Calibri" w:hAnsi="Calibri" w:cs="Calibri"/>
                <w:color w:val="000000"/>
              </w:rPr>
              <w:t>3.505</w:t>
            </w:r>
          </w:p>
        </w:tc>
        <w:tc>
          <w:tcPr>
            <w:tcW w:w="992" w:type="dxa"/>
            <w:shd w:val="clear" w:color="auto" w:fill="auto"/>
            <w:noWrap/>
            <w:vAlign w:val="bottom"/>
          </w:tcPr>
          <w:p w:rsidR="00393B5B" w:rsidRDefault="00393B5B" w:rsidP="00393B5B">
            <w:pPr>
              <w:spacing w:after="0" w:line="240" w:lineRule="auto"/>
              <w:jc w:val="right"/>
              <w:rPr>
                <w:rFonts w:ascii="Calibri" w:hAnsi="Calibri" w:cs="Calibri"/>
                <w:color w:val="000000"/>
              </w:rPr>
            </w:pPr>
            <w:r>
              <w:rPr>
                <w:rFonts w:ascii="Calibri" w:hAnsi="Calibri" w:cs="Calibri"/>
                <w:color w:val="000000"/>
              </w:rPr>
              <w:t>0.051</w:t>
            </w:r>
          </w:p>
        </w:tc>
        <w:tc>
          <w:tcPr>
            <w:tcW w:w="851" w:type="dxa"/>
            <w:vAlign w:val="center"/>
          </w:tcPr>
          <w:p w:rsidR="00393B5B" w:rsidRDefault="00393B5B" w:rsidP="0022435A">
            <w:pPr>
              <w:spacing w:after="0" w:line="240" w:lineRule="auto"/>
              <w:rPr>
                <w:rFonts w:ascii="Calibri" w:hAnsi="Calibri" w:cs="Calibri"/>
                <w:color w:val="000000"/>
              </w:rPr>
            </w:pPr>
            <w:r>
              <w:rPr>
                <w:rFonts w:ascii="Calibri" w:hAnsi="Calibri" w:cs="Calibri"/>
                <w:color w:val="000000"/>
              </w:rPr>
              <w:t>314.52</w:t>
            </w:r>
          </w:p>
        </w:tc>
      </w:tr>
    </w:tbl>
    <w:p w:rsidR="001A6FB8" w:rsidRDefault="001A6FB8" w:rsidP="002A46E5">
      <w:pPr>
        <w:jc w:val="both"/>
        <w:rPr>
          <w:lang w:val="en-US"/>
        </w:rPr>
      </w:pPr>
    </w:p>
    <w:p w:rsidR="00B64DF6" w:rsidRPr="001A6FB8" w:rsidRDefault="001A6FB8" w:rsidP="002A46E5">
      <w:pPr>
        <w:jc w:val="both"/>
        <w:rPr>
          <w:lang w:val="ro-RO"/>
        </w:rPr>
      </w:pPr>
      <w:r w:rsidRPr="001A6FB8">
        <w:rPr>
          <w:lang w:val="ro-RO"/>
        </w:rPr>
        <w:t>De asemenea, pare rezonabil să considerăm că aproximativ 10% din electricitate produsă este pierdută în rețelele de transport și distribuție</w:t>
      </w:r>
      <w:r w:rsidR="003C07FE" w:rsidRPr="001A6FB8">
        <w:rPr>
          <w:rStyle w:val="FootnoteReference"/>
          <w:lang w:val="ro-RO"/>
        </w:rPr>
        <w:footnoteReference w:id="7"/>
      </w:r>
      <w:r>
        <w:rPr>
          <w:lang w:val="ro-RO"/>
        </w:rPr>
        <w:t xml:space="preserve">, astfel încât </w:t>
      </w:r>
      <w:r w:rsidR="00393B5B">
        <w:rPr>
          <w:lang w:val="ro-RO"/>
        </w:rPr>
        <w:t>se ajunge la următoarele valori pentru 1 kWh de electricitate utilizată:</w:t>
      </w:r>
    </w:p>
    <w:tbl>
      <w:tblPr>
        <w:tblW w:w="8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866"/>
        <w:gridCol w:w="976"/>
        <w:gridCol w:w="1156"/>
        <w:gridCol w:w="900"/>
        <w:gridCol w:w="900"/>
        <w:gridCol w:w="900"/>
      </w:tblGrid>
      <w:tr w:rsidR="00393B5B" w:rsidRPr="003562CF" w:rsidTr="0022435A">
        <w:trPr>
          <w:trHeight w:val="292"/>
        </w:trPr>
        <w:tc>
          <w:tcPr>
            <w:tcW w:w="2689" w:type="dxa"/>
            <w:shd w:val="clear" w:color="auto" w:fill="auto"/>
            <w:noWrap/>
            <w:vAlign w:val="bottom"/>
          </w:tcPr>
          <w:p w:rsidR="00393B5B" w:rsidRPr="003562CF" w:rsidRDefault="00393B5B" w:rsidP="00393B5B">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Electricitate utilizată</w:t>
            </w:r>
          </w:p>
        </w:tc>
        <w:tc>
          <w:tcPr>
            <w:tcW w:w="866" w:type="dxa"/>
            <w:shd w:val="clear" w:color="auto" w:fill="auto"/>
            <w:noWrap/>
            <w:vAlign w:val="bottom"/>
          </w:tcPr>
          <w:p w:rsidR="00393B5B" w:rsidRPr="003562CF" w:rsidRDefault="00393B5B" w:rsidP="001A6FB8">
            <w:pPr>
              <w:spacing w:after="0" w:line="240" w:lineRule="auto"/>
              <w:rPr>
                <w:rFonts w:ascii="Calibri" w:eastAsia="Times New Roman" w:hAnsi="Calibri" w:cs="Calibri"/>
                <w:color w:val="000000"/>
                <w:lang w:val="ro-RO" w:eastAsia="en-GB"/>
              </w:rPr>
            </w:pPr>
          </w:p>
        </w:tc>
        <w:tc>
          <w:tcPr>
            <w:tcW w:w="976" w:type="dxa"/>
            <w:shd w:val="clear" w:color="auto" w:fill="auto"/>
            <w:noWrap/>
            <w:vAlign w:val="bottom"/>
          </w:tcPr>
          <w:p w:rsidR="00393B5B" w:rsidRDefault="00393B5B" w:rsidP="001A6FB8">
            <w:pPr>
              <w:spacing w:after="0" w:line="240" w:lineRule="auto"/>
              <w:rPr>
                <w:rFonts w:ascii="Calibri" w:hAnsi="Calibri" w:cs="Calibri"/>
                <w:color w:val="000000"/>
              </w:rPr>
            </w:pPr>
            <w:r>
              <w:rPr>
                <w:rFonts w:ascii="Calibri" w:hAnsi="Calibri" w:cs="Calibri"/>
                <w:color w:val="000000"/>
              </w:rPr>
              <w:t>NOx</w:t>
            </w:r>
          </w:p>
        </w:tc>
        <w:tc>
          <w:tcPr>
            <w:tcW w:w="1156" w:type="dxa"/>
            <w:shd w:val="clear" w:color="auto" w:fill="auto"/>
            <w:noWrap/>
            <w:vAlign w:val="bottom"/>
          </w:tcPr>
          <w:p w:rsidR="00393B5B" w:rsidRDefault="00393B5B" w:rsidP="001A6FB8">
            <w:pPr>
              <w:spacing w:after="0" w:line="240" w:lineRule="auto"/>
              <w:rPr>
                <w:rFonts w:ascii="Calibri" w:hAnsi="Calibri" w:cs="Calibri"/>
                <w:color w:val="000000"/>
              </w:rPr>
            </w:pPr>
            <w:r>
              <w:rPr>
                <w:rFonts w:ascii="Calibri" w:hAnsi="Calibri" w:cs="Calibri"/>
                <w:color w:val="000000"/>
              </w:rPr>
              <w:t>NMVOC</w:t>
            </w:r>
          </w:p>
        </w:tc>
        <w:tc>
          <w:tcPr>
            <w:tcW w:w="900" w:type="dxa"/>
            <w:shd w:val="clear" w:color="auto" w:fill="auto"/>
            <w:noWrap/>
            <w:vAlign w:val="bottom"/>
          </w:tcPr>
          <w:p w:rsidR="00393B5B" w:rsidRDefault="00393B5B" w:rsidP="001A6FB8">
            <w:pPr>
              <w:spacing w:after="0" w:line="240" w:lineRule="auto"/>
              <w:rPr>
                <w:rFonts w:ascii="Calibri" w:hAnsi="Calibri" w:cs="Calibri"/>
                <w:color w:val="000000"/>
              </w:rPr>
            </w:pPr>
            <w:r>
              <w:rPr>
                <w:rFonts w:ascii="Calibri" w:hAnsi="Calibri" w:cs="Calibri"/>
                <w:color w:val="000000"/>
              </w:rPr>
              <w:t>SO2</w:t>
            </w:r>
          </w:p>
        </w:tc>
        <w:tc>
          <w:tcPr>
            <w:tcW w:w="900" w:type="dxa"/>
            <w:shd w:val="clear" w:color="auto" w:fill="auto"/>
            <w:noWrap/>
            <w:vAlign w:val="bottom"/>
          </w:tcPr>
          <w:p w:rsidR="00393B5B" w:rsidRDefault="00393B5B" w:rsidP="001A6FB8">
            <w:pPr>
              <w:spacing w:after="0" w:line="240" w:lineRule="auto"/>
              <w:rPr>
                <w:rFonts w:ascii="Calibri" w:hAnsi="Calibri" w:cs="Calibri"/>
                <w:color w:val="000000"/>
              </w:rPr>
            </w:pPr>
            <w:r>
              <w:rPr>
                <w:rFonts w:ascii="Calibri" w:hAnsi="Calibri" w:cs="Calibri"/>
                <w:color w:val="000000"/>
              </w:rPr>
              <w:t>PM</w:t>
            </w:r>
          </w:p>
        </w:tc>
        <w:tc>
          <w:tcPr>
            <w:tcW w:w="900" w:type="dxa"/>
            <w:vAlign w:val="center"/>
          </w:tcPr>
          <w:p w:rsidR="00393B5B" w:rsidRDefault="00393B5B" w:rsidP="0022435A">
            <w:pPr>
              <w:spacing w:after="0" w:line="240" w:lineRule="auto"/>
              <w:rPr>
                <w:rFonts w:ascii="Calibri" w:hAnsi="Calibri" w:cs="Calibri"/>
                <w:color w:val="000000"/>
              </w:rPr>
            </w:pPr>
            <w:r>
              <w:rPr>
                <w:rFonts w:ascii="Calibri" w:hAnsi="Calibri" w:cs="Calibri"/>
                <w:color w:val="000000"/>
              </w:rPr>
              <w:t>CO2</w:t>
            </w:r>
          </w:p>
        </w:tc>
      </w:tr>
      <w:tr w:rsidR="00393B5B" w:rsidRPr="003562CF" w:rsidTr="0022435A">
        <w:trPr>
          <w:trHeight w:val="292"/>
        </w:trPr>
        <w:tc>
          <w:tcPr>
            <w:tcW w:w="2689" w:type="dxa"/>
            <w:shd w:val="clear" w:color="auto" w:fill="auto"/>
            <w:noWrap/>
            <w:vAlign w:val="bottom"/>
            <w:hideMark/>
          </w:tcPr>
          <w:p w:rsidR="00393B5B" w:rsidRPr="003562CF" w:rsidRDefault="00393B5B" w:rsidP="00393B5B">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Electricitate (medie)</w:t>
            </w:r>
          </w:p>
        </w:tc>
        <w:tc>
          <w:tcPr>
            <w:tcW w:w="866" w:type="dxa"/>
            <w:shd w:val="clear" w:color="auto" w:fill="auto"/>
            <w:noWrap/>
            <w:vAlign w:val="bottom"/>
            <w:hideMark/>
          </w:tcPr>
          <w:p w:rsidR="00393B5B" w:rsidRPr="003562CF" w:rsidRDefault="00393B5B" w:rsidP="00393B5B">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g/kWh</w:t>
            </w:r>
          </w:p>
        </w:tc>
        <w:tc>
          <w:tcPr>
            <w:tcW w:w="976" w:type="dxa"/>
            <w:shd w:val="clear" w:color="auto" w:fill="auto"/>
            <w:noWrap/>
            <w:vAlign w:val="bottom"/>
          </w:tcPr>
          <w:p w:rsidR="00393B5B" w:rsidRDefault="00393B5B" w:rsidP="00393B5B">
            <w:pPr>
              <w:spacing w:after="0" w:line="240" w:lineRule="auto"/>
              <w:jc w:val="right"/>
              <w:rPr>
                <w:rFonts w:ascii="Calibri" w:hAnsi="Calibri" w:cs="Calibri"/>
                <w:color w:val="000000"/>
              </w:rPr>
            </w:pPr>
            <w:r>
              <w:rPr>
                <w:rFonts w:ascii="Calibri" w:hAnsi="Calibri" w:cs="Calibri"/>
                <w:color w:val="000000"/>
              </w:rPr>
              <w:t>0.738</w:t>
            </w:r>
          </w:p>
        </w:tc>
        <w:tc>
          <w:tcPr>
            <w:tcW w:w="1156" w:type="dxa"/>
            <w:shd w:val="clear" w:color="auto" w:fill="auto"/>
            <w:noWrap/>
            <w:vAlign w:val="bottom"/>
          </w:tcPr>
          <w:p w:rsidR="00393B5B" w:rsidRDefault="00393B5B" w:rsidP="00393B5B">
            <w:pPr>
              <w:spacing w:after="0" w:line="240" w:lineRule="auto"/>
              <w:jc w:val="right"/>
              <w:rPr>
                <w:rFonts w:ascii="Calibri" w:hAnsi="Calibri" w:cs="Calibri"/>
                <w:color w:val="000000"/>
              </w:rPr>
            </w:pPr>
            <w:r>
              <w:rPr>
                <w:rFonts w:ascii="Calibri" w:hAnsi="Calibri" w:cs="Calibri"/>
                <w:color w:val="000000"/>
              </w:rPr>
              <w:t>0.008</w:t>
            </w:r>
          </w:p>
        </w:tc>
        <w:tc>
          <w:tcPr>
            <w:tcW w:w="900" w:type="dxa"/>
            <w:shd w:val="clear" w:color="auto" w:fill="auto"/>
            <w:noWrap/>
            <w:vAlign w:val="bottom"/>
          </w:tcPr>
          <w:p w:rsidR="00393B5B" w:rsidRDefault="00393B5B" w:rsidP="00393B5B">
            <w:pPr>
              <w:spacing w:after="0" w:line="240" w:lineRule="auto"/>
              <w:jc w:val="right"/>
              <w:rPr>
                <w:rFonts w:ascii="Calibri" w:hAnsi="Calibri" w:cs="Calibri"/>
                <w:color w:val="000000"/>
              </w:rPr>
            </w:pPr>
            <w:r>
              <w:rPr>
                <w:rFonts w:ascii="Calibri" w:hAnsi="Calibri" w:cs="Calibri"/>
                <w:color w:val="000000"/>
              </w:rPr>
              <w:t>3.894</w:t>
            </w:r>
          </w:p>
        </w:tc>
        <w:tc>
          <w:tcPr>
            <w:tcW w:w="900" w:type="dxa"/>
            <w:shd w:val="clear" w:color="auto" w:fill="auto"/>
            <w:noWrap/>
            <w:vAlign w:val="bottom"/>
          </w:tcPr>
          <w:p w:rsidR="00393B5B" w:rsidRDefault="00393B5B" w:rsidP="00393B5B">
            <w:pPr>
              <w:spacing w:after="0" w:line="240" w:lineRule="auto"/>
              <w:jc w:val="right"/>
              <w:rPr>
                <w:rFonts w:ascii="Calibri" w:hAnsi="Calibri" w:cs="Calibri"/>
                <w:color w:val="000000"/>
              </w:rPr>
            </w:pPr>
            <w:r>
              <w:rPr>
                <w:rFonts w:ascii="Calibri" w:hAnsi="Calibri" w:cs="Calibri"/>
                <w:color w:val="000000"/>
              </w:rPr>
              <w:t>0.056</w:t>
            </w:r>
          </w:p>
        </w:tc>
        <w:tc>
          <w:tcPr>
            <w:tcW w:w="900" w:type="dxa"/>
            <w:vAlign w:val="center"/>
          </w:tcPr>
          <w:p w:rsidR="00393B5B" w:rsidRDefault="00393B5B" w:rsidP="0022435A">
            <w:pPr>
              <w:spacing w:after="0" w:line="240" w:lineRule="auto"/>
              <w:rPr>
                <w:rFonts w:ascii="Calibri" w:hAnsi="Calibri" w:cs="Calibri"/>
                <w:color w:val="000000"/>
              </w:rPr>
            </w:pPr>
            <w:r>
              <w:rPr>
                <w:rFonts w:ascii="Calibri" w:hAnsi="Calibri" w:cs="Calibri"/>
                <w:color w:val="000000"/>
              </w:rPr>
              <w:t>349.47</w:t>
            </w:r>
          </w:p>
        </w:tc>
      </w:tr>
    </w:tbl>
    <w:p w:rsidR="001A6FB8" w:rsidRPr="00393B5B" w:rsidRDefault="001A6FB8" w:rsidP="002A46E5">
      <w:pPr>
        <w:jc w:val="both"/>
        <w:rPr>
          <w:lang w:val="ro-RO"/>
        </w:rPr>
      </w:pPr>
    </w:p>
    <w:p w:rsidR="00393B5B" w:rsidRDefault="00393B5B" w:rsidP="002A46E5">
      <w:pPr>
        <w:jc w:val="both"/>
        <w:rPr>
          <w:lang w:val="ro-RO"/>
        </w:rPr>
      </w:pPr>
      <w:r w:rsidRPr="00393B5B">
        <w:rPr>
          <w:lang w:val="ro-RO"/>
        </w:rPr>
        <w:t xml:space="preserve">În final, </w:t>
      </w:r>
      <w:r>
        <w:rPr>
          <w:lang w:val="ro-RO"/>
        </w:rPr>
        <w:t>având în vedere un consum mediu de electricitate de 196 Wh pe km pentru autoturisme electrice, se obține următoarele emisii:</w:t>
      </w:r>
    </w:p>
    <w:tbl>
      <w:tblPr>
        <w:tblW w:w="8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866"/>
        <w:gridCol w:w="976"/>
        <w:gridCol w:w="1156"/>
        <w:gridCol w:w="900"/>
        <w:gridCol w:w="900"/>
        <w:gridCol w:w="941"/>
      </w:tblGrid>
      <w:tr w:rsidR="0022435A" w:rsidRPr="003562CF" w:rsidTr="005D04B7">
        <w:trPr>
          <w:trHeight w:val="292"/>
        </w:trPr>
        <w:tc>
          <w:tcPr>
            <w:tcW w:w="2689" w:type="dxa"/>
            <w:shd w:val="clear" w:color="auto" w:fill="auto"/>
            <w:noWrap/>
            <w:vAlign w:val="bottom"/>
          </w:tcPr>
          <w:p w:rsidR="0022435A" w:rsidRPr="003562CF" w:rsidRDefault="0022435A" w:rsidP="005D04B7">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Emisii pe km</w:t>
            </w:r>
          </w:p>
        </w:tc>
        <w:tc>
          <w:tcPr>
            <w:tcW w:w="866" w:type="dxa"/>
            <w:shd w:val="clear" w:color="auto" w:fill="auto"/>
            <w:noWrap/>
            <w:vAlign w:val="bottom"/>
          </w:tcPr>
          <w:p w:rsidR="0022435A" w:rsidRPr="003562CF" w:rsidRDefault="0022435A" w:rsidP="005D04B7">
            <w:pPr>
              <w:spacing w:after="0" w:line="240" w:lineRule="auto"/>
              <w:rPr>
                <w:rFonts w:ascii="Calibri" w:eastAsia="Times New Roman" w:hAnsi="Calibri" w:cs="Calibri"/>
                <w:color w:val="000000"/>
                <w:lang w:val="ro-RO" w:eastAsia="en-GB"/>
              </w:rPr>
            </w:pPr>
          </w:p>
        </w:tc>
        <w:tc>
          <w:tcPr>
            <w:tcW w:w="976" w:type="dxa"/>
            <w:shd w:val="clear" w:color="auto" w:fill="auto"/>
            <w:noWrap/>
            <w:vAlign w:val="bottom"/>
          </w:tcPr>
          <w:p w:rsidR="0022435A" w:rsidRDefault="0022435A" w:rsidP="005D04B7">
            <w:pPr>
              <w:spacing w:after="0" w:line="240" w:lineRule="auto"/>
              <w:rPr>
                <w:rFonts w:ascii="Calibri" w:hAnsi="Calibri" w:cs="Calibri"/>
                <w:color w:val="000000"/>
              </w:rPr>
            </w:pPr>
            <w:r>
              <w:rPr>
                <w:rFonts w:ascii="Calibri" w:hAnsi="Calibri" w:cs="Calibri"/>
                <w:color w:val="000000"/>
              </w:rPr>
              <w:t>NOx</w:t>
            </w:r>
          </w:p>
        </w:tc>
        <w:tc>
          <w:tcPr>
            <w:tcW w:w="1156" w:type="dxa"/>
            <w:shd w:val="clear" w:color="auto" w:fill="auto"/>
            <w:noWrap/>
            <w:vAlign w:val="bottom"/>
          </w:tcPr>
          <w:p w:rsidR="0022435A" w:rsidRDefault="0022435A" w:rsidP="005D04B7">
            <w:pPr>
              <w:spacing w:after="0" w:line="240" w:lineRule="auto"/>
              <w:rPr>
                <w:rFonts w:ascii="Calibri" w:hAnsi="Calibri" w:cs="Calibri"/>
                <w:color w:val="000000"/>
              </w:rPr>
            </w:pPr>
            <w:r>
              <w:rPr>
                <w:rFonts w:ascii="Calibri" w:hAnsi="Calibri" w:cs="Calibri"/>
                <w:color w:val="000000"/>
              </w:rPr>
              <w:t>NMVOC</w:t>
            </w:r>
          </w:p>
        </w:tc>
        <w:tc>
          <w:tcPr>
            <w:tcW w:w="900" w:type="dxa"/>
            <w:shd w:val="clear" w:color="auto" w:fill="auto"/>
            <w:noWrap/>
            <w:vAlign w:val="bottom"/>
          </w:tcPr>
          <w:p w:rsidR="0022435A" w:rsidRDefault="0022435A" w:rsidP="005D04B7">
            <w:pPr>
              <w:spacing w:after="0" w:line="240" w:lineRule="auto"/>
              <w:rPr>
                <w:rFonts w:ascii="Calibri" w:hAnsi="Calibri" w:cs="Calibri"/>
                <w:color w:val="000000"/>
              </w:rPr>
            </w:pPr>
            <w:r>
              <w:rPr>
                <w:rFonts w:ascii="Calibri" w:hAnsi="Calibri" w:cs="Calibri"/>
                <w:color w:val="000000"/>
              </w:rPr>
              <w:t>SO2</w:t>
            </w:r>
          </w:p>
        </w:tc>
        <w:tc>
          <w:tcPr>
            <w:tcW w:w="900" w:type="dxa"/>
            <w:shd w:val="clear" w:color="auto" w:fill="auto"/>
            <w:noWrap/>
            <w:vAlign w:val="bottom"/>
          </w:tcPr>
          <w:p w:rsidR="0022435A" w:rsidRDefault="0022435A" w:rsidP="005D04B7">
            <w:pPr>
              <w:spacing w:after="0" w:line="240" w:lineRule="auto"/>
              <w:rPr>
                <w:rFonts w:ascii="Calibri" w:hAnsi="Calibri" w:cs="Calibri"/>
                <w:color w:val="000000"/>
              </w:rPr>
            </w:pPr>
            <w:r>
              <w:rPr>
                <w:rFonts w:ascii="Calibri" w:hAnsi="Calibri" w:cs="Calibri"/>
                <w:color w:val="000000"/>
              </w:rPr>
              <w:t>PM</w:t>
            </w:r>
          </w:p>
        </w:tc>
        <w:tc>
          <w:tcPr>
            <w:tcW w:w="900" w:type="dxa"/>
            <w:vAlign w:val="center"/>
          </w:tcPr>
          <w:p w:rsidR="0022435A" w:rsidRDefault="0022435A" w:rsidP="005D04B7">
            <w:pPr>
              <w:spacing w:after="0" w:line="240" w:lineRule="auto"/>
              <w:rPr>
                <w:rFonts w:ascii="Calibri" w:hAnsi="Calibri" w:cs="Calibri"/>
                <w:color w:val="000000"/>
              </w:rPr>
            </w:pPr>
            <w:r>
              <w:rPr>
                <w:rFonts w:ascii="Calibri" w:hAnsi="Calibri" w:cs="Calibri"/>
                <w:color w:val="000000"/>
              </w:rPr>
              <w:t>CO2</w:t>
            </w:r>
          </w:p>
        </w:tc>
      </w:tr>
      <w:tr w:rsidR="0022435A" w:rsidRPr="003562CF" w:rsidTr="00C65746">
        <w:trPr>
          <w:trHeight w:val="292"/>
        </w:trPr>
        <w:tc>
          <w:tcPr>
            <w:tcW w:w="2689" w:type="dxa"/>
            <w:shd w:val="clear" w:color="auto" w:fill="auto"/>
            <w:noWrap/>
            <w:vAlign w:val="bottom"/>
            <w:hideMark/>
          </w:tcPr>
          <w:p w:rsidR="0022435A" w:rsidRPr="003562CF" w:rsidRDefault="0022435A" w:rsidP="0022435A">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Autoturisme electrice</w:t>
            </w:r>
          </w:p>
        </w:tc>
        <w:tc>
          <w:tcPr>
            <w:tcW w:w="866" w:type="dxa"/>
            <w:shd w:val="clear" w:color="auto" w:fill="auto"/>
            <w:noWrap/>
            <w:vAlign w:val="bottom"/>
            <w:hideMark/>
          </w:tcPr>
          <w:p w:rsidR="0022435A" w:rsidRPr="003562CF" w:rsidRDefault="0022435A" w:rsidP="0022435A">
            <w:pPr>
              <w:spacing w:after="0" w:line="240" w:lineRule="auto"/>
              <w:rPr>
                <w:rFonts w:ascii="Calibri" w:eastAsia="Times New Roman" w:hAnsi="Calibri" w:cs="Calibri"/>
                <w:color w:val="000000"/>
                <w:lang w:val="ro-RO" w:eastAsia="en-GB"/>
              </w:rPr>
            </w:pPr>
            <w:r>
              <w:rPr>
                <w:rFonts w:ascii="Calibri" w:eastAsia="Times New Roman" w:hAnsi="Calibri" w:cs="Calibri"/>
                <w:color w:val="000000"/>
                <w:lang w:val="ro-RO" w:eastAsia="en-GB"/>
              </w:rPr>
              <w:t>g/k</w:t>
            </w:r>
            <w:r>
              <w:rPr>
                <w:rFonts w:ascii="Calibri" w:eastAsia="Times New Roman" w:hAnsi="Calibri" w:cs="Calibri"/>
                <w:color w:val="000000"/>
                <w:lang w:val="ro-RO" w:eastAsia="en-GB"/>
              </w:rPr>
              <w:t>m</w:t>
            </w:r>
          </w:p>
        </w:tc>
        <w:tc>
          <w:tcPr>
            <w:tcW w:w="976" w:type="dxa"/>
            <w:shd w:val="clear" w:color="auto" w:fill="auto"/>
            <w:noWrap/>
            <w:vAlign w:val="bottom"/>
          </w:tcPr>
          <w:p w:rsidR="0022435A" w:rsidRDefault="0022435A" w:rsidP="0022435A">
            <w:pPr>
              <w:spacing w:after="0" w:line="240" w:lineRule="auto"/>
              <w:jc w:val="right"/>
              <w:rPr>
                <w:rFonts w:ascii="Calibri" w:hAnsi="Calibri" w:cs="Calibri"/>
                <w:color w:val="000000"/>
              </w:rPr>
            </w:pPr>
            <w:r>
              <w:rPr>
                <w:rFonts w:ascii="Calibri" w:hAnsi="Calibri" w:cs="Calibri"/>
                <w:color w:val="000000"/>
              </w:rPr>
              <w:t>0.1447</w:t>
            </w:r>
          </w:p>
        </w:tc>
        <w:tc>
          <w:tcPr>
            <w:tcW w:w="1156" w:type="dxa"/>
            <w:shd w:val="clear" w:color="auto" w:fill="auto"/>
            <w:noWrap/>
            <w:vAlign w:val="bottom"/>
          </w:tcPr>
          <w:p w:rsidR="0022435A" w:rsidRDefault="0022435A" w:rsidP="0022435A">
            <w:pPr>
              <w:spacing w:after="0" w:line="240" w:lineRule="auto"/>
              <w:jc w:val="right"/>
              <w:rPr>
                <w:rFonts w:ascii="Calibri" w:hAnsi="Calibri" w:cs="Calibri"/>
                <w:color w:val="000000"/>
              </w:rPr>
            </w:pPr>
            <w:r>
              <w:rPr>
                <w:rFonts w:ascii="Calibri" w:hAnsi="Calibri" w:cs="Calibri"/>
                <w:color w:val="000000"/>
              </w:rPr>
              <w:t>0.0016</w:t>
            </w:r>
          </w:p>
        </w:tc>
        <w:tc>
          <w:tcPr>
            <w:tcW w:w="900" w:type="dxa"/>
            <w:shd w:val="clear" w:color="auto" w:fill="auto"/>
            <w:noWrap/>
            <w:vAlign w:val="bottom"/>
          </w:tcPr>
          <w:p w:rsidR="0022435A" w:rsidRDefault="0022435A" w:rsidP="0022435A">
            <w:pPr>
              <w:spacing w:after="0" w:line="240" w:lineRule="auto"/>
              <w:jc w:val="right"/>
              <w:rPr>
                <w:rFonts w:ascii="Calibri" w:hAnsi="Calibri" w:cs="Calibri"/>
                <w:color w:val="000000"/>
              </w:rPr>
            </w:pPr>
            <w:r>
              <w:rPr>
                <w:rFonts w:ascii="Calibri" w:hAnsi="Calibri" w:cs="Calibri"/>
                <w:color w:val="000000"/>
              </w:rPr>
              <w:t>0.7632</w:t>
            </w:r>
          </w:p>
        </w:tc>
        <w:tc>
          <w:tcPr>
            <w:tcW w:w="900" w:type="dxa"/>
            <w:shd w:val="clear" w:color="auto" w:fill="auto"/>
            <w:noWrap/>
            <w:vAlign w:val="bottom"/>
          </w:tcPr>
          <w:p w:rsidR="0022435A" w:rsidRDefault="0022435A" w:rsidP="0022435A">
            <w:pPr>
              <w:spacing w:after="0" w:line="240" w:lineRule="auto"/>
              <w:jc w:val="right"/>
              <w:rPr>
                <w:rFonts w:ascii="Calibri" w:hAnsi="Calibri" w:cs="Calibri"/>
                <w:color w:val="000000"/>
              </w:rPr>
            </w:pPr>
            <w:r>
              <w:rPr>
                <w:rFonts w:ascii="Calibri" w:hAnsi="Calibri" w:cs="Calibri"/>
                <w:color w:val="000000"/>
              </w:rPr>
              <w:t>0.0110</w:t>
            </w:r>
          </w:p>
        </w:tc>
        <w:tc>
          <w:tcPr>
            <w:tcW w:w="900" w:type="dxa"/>
            <w:vAlign w:val="bottom"/>
          </w:tcPr>
          <w:p w:rsidR="0022435A" w:rsidRDefault="0022435A" w:rsidP="0022435A">
            <w:pPr>
              <w:spacing w:after="0" w:line="240" w:lineRule="auto"/>
              <w:jc w:val="right"/>
              <w:rPr>
                <w:rFonts w:ascii="Calibri" w:hAnsi="Calibri" w:cs="Calibri"/>
                <w:color w:val="000000"/>
              </w:rPr>
            </w:pPr>
            <w:r>
              <w:rPr>
                <w:rFonts w:ascii="Calibri" w:hAnsi="Calibri" w:cs="Calibri"/>
                <w:color w:val="000000"/>
              </w:rPr>
              <w:t>68.4955</w:t>
            </w:r>
          </w:p>
        </w:tc>
      </w:tr>
    </w:tbl>
    <w:p w:rsidR="00393B5B" w:rsidRPr="00393B5B" w:rsidRDefault="00393B5B" w:rsidP="002A46E5">
      <w:pPr>
        <w:jc w:val="both"/>
        <w:rPr>
          <w:lang w:val="ro-RO"/>
        </w:rPr>
      </w:pPr>
    </w:p>
    <w:p w:rsidR="00D6318D" w:rsidRDefault="00D6318D" w:rsidP="003512AC">
      <w:pPr>
        <w:spacing w:after="0" w:line="240" w:lineRule="auto"/>
        <w:jc w:val="both"/>
        <w:rPr>
          <w:lang w:val="ro-RO"/>
        </w:rPr>
      </w:pPr>
    </w:p>
    <w:p w:rsidR="003512AC" w:rsidRPr="003512AC" w:rsidRDefault="003512AC" w:rsidP="003512AC">
      <w:pPr>
        <w:spacing w:after="0" w:line="240" w:lineRule="auto"/>
        <w:jc w:val="both"/>
        <w:rPr>
          <w:lang w:val="ro-RO"/>
        </w:rPr>
      </w:pPr>
    </w:p>
    <w:sectPr w:rsidR="003512AC" w:rsidRPr="003512AC" w:rsidSect="005753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A7E" w:rsidRDefault="00390A7E" w:rsidP="00E6624B">
      <w:pPr>
        <w:spacing w:after="0" w:line="240" w:lineRule="auto"/>
      </w:pPr>
      <w:r>
        <w:separator/>
      </w:r>
    </w:p>
  </w:endnote>
  <w:endnote w:type="continuationSeparator" w:id="0">
    <w:p w:rsidR="00390A7E" w:rsidRDefault="00390A7E" w:rsidP="00E6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altName w:val="Open Sans"/>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Futura Lt BT">
    <w:panose1 w:val="020B04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354552"/>
      <w:docPartObj>
        <w:docPartGallery w:val="Page Numbers (Bottom of Page)"/>
        <w:docPartUnique/>
      </w:docPartObj>
    </w:sdtPr>
    <w:sdtEndPr>
      <w:rPr>
        <w:noProof/>
      </w:rPr>
    </w:sdtEndPr>
    <w:sdtContent>
      <w:p w:rsidR="001A6FB8" w:rsidRDefault="001A6FB8" w:rsidP="00335408">
        <w:pPr>
          <w:pStyle w:val="Footer"/>
          <w:jc w:val="right"/>
        </w:pPr>
        <w:r>
          <w:fldChar w:fldCharType="begin"/>
        </w:r>
        <w:r>
          <w:instrText xml:space="preserve"> PAGE   \* MERGEFORMAT </w:instrText>
        </w:r>
        <w:r>
          <w:fldChar w:fldCharType="separate"/>
        </w:r>
        <w:r w:rsidR="00E10437">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A7E" w:rsidRDefault="00390A7E" w:rsidP="00E6624B">
      <w:pPr>
        <w:spacing w:after="0" w:line="240" w:lineRule="auto"/>
      </w:pPr>
      <w:r>
        <w:separator/>
      </w:r>
    </w:p>
  </w:footnote>
  <w:footnote w:type="continuationSeparator" w:id="0">
    <w:p w:rsidR="00390A7E" w:rsidRDefault="00390A7E" w:rsidP="00E6624B">
      <w:pPr>
        <w:spacing w:after="0" w:line="240" w:lineRule="auto"/>
      </w:pPr>
      <w:r>
        <w:continuationSeparator/>
      </w:r>
    </w:p>
  </w:footnote>
  <w:footnote w:id="1">
    <w:p w:rsidR="001A6FB8" w:rsidRPr="00A65D37" w:rsidRDefault="001A6FB8">
      <w:pPr>
        <w:pStyle w:val="FootnoteText"/>
        <w:rPr>
          <w:lang w:val="ro-RO"/>
        </w:rPr>
      </w:pPr>
      <w:r>
        <w:rPr>
          <w:rStyle w:val="FootnoteReference"/>
        </w:rPr>
        <w:footnoteRef/>
      </w:r>
      <w:r>
        <w:t xml:space="preserve"> </w:t>
      </w:r>
      <w:hyperlink r:id="rId1" w:history="1">
        <w:r>
          <w:rPr>
            <w:rStyle w:val="Hyperlink"/>
          </w:rPr>
          <w:t>TAG Data Book - GOV.UK (www.gov.uk)</w:t>
        </w:r>
      </w:hyperlink>
    </w:p>
  </w:footnote>
  <w:footnote w:id="2">
    <w:p w:rsidR="001A6FB8" w:rsidRPr="00461BEE" w:rsidRDefault="001A6FB8">
      <w:pPr>
        <w:pStyle w:val="FootnoteText"/>
        <w:rPr>
          <w:lang w:val="ro-RO"/>
        </w:rPr>
      </w:pPr>
      <w:r>
        <w:rPr>
          <w:rStyle w:val="FootnoteReference"/>
        </w:rPr>
        <w:footnoteRef/>
      </w:r>
      <w:r>
        <w:t xml:space="preserve"> </w:t>
      </w:r>
      <w:hyperlink r:id="rId2" w:history="1">
        <w:r>
          <w:rPr>
            <w:rStyle w:val="Hyperlink"/>
          </w:rPr>
          <w:t xml:space="preserve">Energy consumption of full electric vehicles </w:t>
        </w:r>
        <w:proofErr w:type="spellStart"/>
        <w:r>
          <w:rPr>
            <w:rStyle w:val="Hyperlink"/>
          </w:rPr>
          <w:t>cheatsheet</w:t>
        </w:r>
        <w:proofErr w:type="spellEnd"/>
        <w:r>
          <w:rPr>
            <w:rStyle w:val="Hyperlink"/>
          </w:rPr>
          <w:t xml:space="preserve"> - EV Database (ev-database.org)</w:t>
        </w:r>
      </w:hyperlink>
    </w:p>
  </w:footnote>
  <w:footnote w:id="3">
    <w:p w:rsidR="001A6FB8" w:rsidRPr="00461BEE" w:rsidRDefault="001A6FB8">
      <w:pPr>
        <w:pStyle w:val="FootnoteText"/>
        <w:rPr>
          <w:lang w:val="ro-RO"/>
        </w:rPr>
      </w:pPr>
      <w:r>
        <w:rPr>
          <w:rStyle w:val="FootnoteReference"/>
        </w:rPr>
        <w:footnoteRef/>
      </w:r>
      <w:r>
        <w:t xml:space="preserve"> </w:t>
      </w:r>
      <w:hyperlink r:id="rId3" w:history="1">
        <w:proofErr w:type="spellStart"/>
        <w:r>
          <w:rPr>
            <w:rStyle w:val="Hyperlink"/>
          </w:rPr>
          <w:t>Mașină</w:t>
        </w:r>
        <w:proofErr w:type="spellEnd"/>
        <w:r>
          <w:rPr>
            <w:rStyle w:val="Hyperlink"/>
          </w:rPr>
          <w:t xml:space="preserve"> </w:t>
        </w:r>
        <w:proofErr w:type="spellStart"/>
        <w:r>
          <w:rPr>
            <w:rStyle w:val="Hyperlink"/>
          </w:rPr>
          <w:t>electrică</w:t>
        </w:r>
        <w:proofErr w:type="spellEnd"/>
        <w:r>
          <w:rPr>
            <w:rStyle w:val="Hyperlink"/>
          </w:rPr>
          <w:t xml:space="preserve"> </w:t>
        </w:r>
        <w:proofErr w:type="spellStart"/>
        <w:r>
          <w:rPr>
            <w:rStyle w:val="Hyperlink"/>
          </w:rPr>
          <w:t>în</w:t>
        </w:r>
        <w:proofErr w:type="spellEnd"/>
        <w:r>
          <w:rPr>
            <w:rStyle w:val="Hyperlink"/>
          </w:rPr>
          <w:t xml:space="preserve"> 2021. </w:t>
        </w:r>
        <w:proofErr w:type="spellStart"/>
        <w:r>
          <w:rPr>
            <w:rStyle w:val="Hyperlink"/>
          </w:rPr>
          <w:t>Unde</w:t>
        </w:r>
        <w:proofErr w:type="spellEnd"/>
        <w:r>
          <w:rPr>
            <w:rStyle w:val="Hyperlink"/>
          </w:rPr>
          <w:t xml:space="preserve"> </w:t>
        </w:r>
        <w:proofErr w:type="spellStart"/>
        <w:r>
          <w:rPr>
            <w:rStyle w:val="Hyperlink"/>
          </w:rPr>
          <w:t>încarc</w:t>
        </w:r>
        <w:proofErr w:type="spellEnd"/>
        <w:r>
          <w:rPr>
            <w:rStyle w:val="Hyperlink"/>
          </w:rPr>
          <w:t xml:space="preserve">? </w:t>
        </w:r>
        <w:proofErr w:type="spellStart"/>
        <w:r>
          <w:rPr>
            <w:rStyle w:val="Hyperlink"/>
          </w:rPr>
          <w:t>Cât</w:t>
        </w:r>
        <w:proofErr w:type="spellEnd"/>
        <w:r>
          <w:rPr>
            <w:rStyle w:val="Hyperlink"/>
          </w:rPr>
          <w:t xml:space="preserve"> </w:t>
        </w:r>
        <w:proofErr w:type="spellStart"/>
        <w:r>
          <w:rPr>
            <w:rStyle w:val="Hyperlink"/>
          </w:rPr>
          <w:t>costă</w:t>
        </w:r>
        <w:proofErr w:type="spellEnd"/>
        <w:r>
          <w:rPr>
            <w:rStyle w:val="Hyperlink"/>
          </w:rPr>
          <w:t>? | 0-100.ro (0-100.ro)</w:t>
        </w:r>
      </w:hyperlink>
    </w:p>
  </w:footnote>
  <w:footnote w:id="4">
    <w:p w:rsidR="001A6FB8" w:rsidRPr="00C22B7B" w:rsidRDefault="001A6FB8">
      <w:pPr>
        <w:pStyle w:val="FootnoteText"/>
        <w:rPr>
          <w:lang w:val="ro-RO"/>
        </w:rPr>
      </w:pPr>
      <w:r>
        <w:rPr>
          <w:rStyle w:val="FootnoteReference"/>
        </w:rPr>
        <w:footnoteRef/>
      </w:r>
      <w:r>
        <w:t xml:space="preserve"> </w:t>
      </w:r>
      <w:hyperlink r:id="rId4" w:history="1">
        <w:proofErr w:type="spellStart"/>
        <w:r>
          <w:rPr>
            <w:rStyle w:val="Hyperlink"/>
          </w:rPr>
          <w:t>Rapoarte</w:t>
        </w:r>
        <w:proofErr w:type="spellEnd"/>
        <w:r>
          <w:rPr>
            <w:rStyle w:val="Hyperlink"/>
          </w:rPr>
          <w:t xml:space="preserve"> </w:t>
        </w:r>
        <w:proofErr w:type="spellStart"/>
        <w:r>
          <w:rPr>
            <w:rStyle w:val="Hyperlink"/>
          </w:rPr>
          <w:t>anuale</w:t>
        </w:r>
        <w:proofErr w:type="spellEnd"/>
        <w:r>
          <w:rPr>
            <w:rStyle w:val="Hyperlink"/>
          </w:rPr>
          <w:t xml:space="preserve"> (anre.ro)</w:t>
        </w:r>
      </w:hyperlink>
      <w:r>
        <w:t xml:space="preserve"> – </w:t>
      </w:r>
      <w:proofErr w:type="spellStart"/>
      <w:r>
        <w:t>raport</w:t>
      </w:r>
      <w:proofErr w:type="spellEnd"/>
      <w:r>
        <w:t xml:space="preserve"> </w:t>
      </w:r>
      <w:proofErr w:type="spellStart"/>
      <w:r>
        <w:t>național</w:t>
      </w:r>
      <w:proofErr w:type="spellEnd"/>
      <w:r>
        <w:t xml:space="preserve"> 2017</w:t>
      </w:r>
    </w:p>
  </w:footnote>
  <w:footnote w:id="5">
    <w:p w:rsidR="001A6FB8" w:rsidRPr="002D0398" w:rsidRDefault="001A6FB8">
      <w:pPr>
        <w:pStyle w:val="FootnoteText"/>
        <w:rPr>
          <w:lang w:val="en-US"/>
        </w:rPr>
      </w:pPr>
      <w:r>
        <w:rPr>
          <w:rStyle w:val="FootnoteReference"/>
        </w:rPr>
        <w:footnoteRef/>
      </w:r>
      <w:r>
        <w:t xml:space="preserve"> </w:t>
      </w:r>
      <w:hyperlink r:id="rId5" w:history="1">
        <w:r>
          <w:rPr>
            <w:rStyle w:val="Hyperlink"/>
          </w:rPr>
          <w:t>Eurostat - Data Explorer (europa.eu)</w:t>
        </w:r>
      </w:hyperlink>
    </w:p>
  </w:footnote>
  <w:footnote w:id="6">
    <w:p w:rsidR="001A6FB8" w:rsidRPr="003F6A2D" w:rsidRDefault="001A6FB8">
      <w:pPr>
        <w:pStyle w:val="FootnoteText"/>
        <w:rPr>
          <w:lang w:val="ro-RO"/>
        </w:rPr>
      </w:pPr>
      <w:r>
        <w:rPr>
          <w:rStyle w:val="FootnoteReference"/>
        </w:rPr>
        <w:footnoteRef/>
      </w:r>
      <w:r>
        <w:t xml:space="preserve"> </w:t>
      </w:r>
      <w:r>
        <w:rPr>
          <w:lang w:val="ro-RO"/>
        </w:rPr>
        <w:t xml:space="preserve">Sursa: </w:t>
      </w:r>
      <w:hyperlink r:id="rId6" w:history="1">
        <w:r>
          <w:rPr>
            <w:rStyle w:val="Hyperlink"/>
          </w:rPr>
          <w:t>Electricity Generating and Distribution Efficiency (mpoweruk.com)</w:t>
        </w:r>
      </w:hyperlink>
    </w:p>
  </w:footnote>
  <w:footnote w:id="7">
    <w:p w:rsidR="001A6FB8" w:rsidRPr="003C07FE" w:rsidRDefault="001A6FB8">
      <w:pPr>
        <w:pStyle w:val="FootnoteText"/>
        <w:rPr>
          <w:lang w:val="en-US"/>
        </w:rPr>
      </w:pPr>
      <w:r>
        <w:rPr>
          <w:rStyle w:val="FootnoteReference"/>
        </w:rPr>
        <w:footnoteRef/>
      </w:r>
      <w:r>
        <w:t xml:space="preserve"> </w:t>
      </w:r>
      <w:hyperlink r:id="rId7" w:history="1">
        <w:r>
          <w:rPr>
            <w:rStyle w:val="Hyperlink"/>
          </w:rPr>
          <w:t>Electric power transmission and distribution losses (% of output) | Data (worldbank.org)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FB8" w:rsidRDefault="001A6FB8" w:rsidP="000D4B13">
    <w:pPr>
      <w:pStyle w:val="Header"/>
      <w:tabs>
        <w:tab w:val="clear" w:pos="4513"/>
        <w:tab w:val="clear" w:pos="9026"/>
        <w:tab w:val="left" w:pos="102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FB8" w:rsidRDefault="001A6FB8" w:rsidP="00B95B05">
    <w:pPr>
      <w:pStyle w:val="Header"/>
      <w:tabs>
        <w:tab w:val="clear" w:pos="4513"/>
        <w:tab w:val="center" w:pos="8931"/>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FB8" w:rsidRDefault="001A6F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FB8" w:rsidRDefault="001A6FB8" w:rsidP="000D4B13">
    <w:pPr>
      <w:pStyle w:val="Header"/>
      <w:tabs>
        <w:tab w:val="clear" w:pos="4513"/>
        <w:tab w:val="clear" w:pos="9026"/>
        <w:tab w:val="left" w:pos="1020"/>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FB8" w:rsidRDefault="001A6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00A0"/>
    <w:multiLevelType w:val="hybridMultilevel"/>
    <w:tmpl w:val="20C46B18"/>
    <w:lvl w:ilvl="0" w:tplc="7D9E725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D614A"/>
    <w:multiLevelType w:val="hybridMultilevel"/>
    <w:tmpl w:val="181AED08"/>
    <w:lvl w:ilvl="0" w:tplc="6C3EF76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E43AE"/>
    <w:multiLevelType w:val="hybridMultilevel"/>
    <w:tmpl w:val="8CD8E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16B4F"/>
    <w:multiLevelType w:val="multilevel"/>
    <w:tmpl w:val="1414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A20A1"/>
    <w:multiLevelType w:val="hybridMultilevel"/>
    <w:tmpl w:val="31084A72"/>
    <w:lvl w:ilvl="0" w:tplc="05E8F54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5846CC"/>
    <w:multiLevelType w:val="hybridMultilevel"/>
    <w:tmpl w:val="32487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A955FE"/>
    <w:multiLevelType w:val="hybridMultilevel"/>
    <w:tmpl w:val="32487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945AC4"/>
    <w:multiLevelType w:val="hybridMultilevel"/>
    <w:tmpl w:val="32487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7"/>
  </w:num>
  <w:num w:numId="6">
    <w:abstractNumId w:val="4"/>
  </w:num>
  <w:num w:numId="7">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BFD"/>
    <w:rsid w:val="00041E95"/>
    <w:rsid w:val="0004688C"/>
    <w:rsid w:val="00054B28"/>
    <w:rsid w:val="000600C1"/>
    <w:rsid w:val="00082F7C"/>
    <w:rsid w:val="00097FA2"/>
    <w:rsid w:val="000A6C63"/>
    <w:rsid w:val="000C0F8F"/>
    <w:rsid w:val="000D4B13"/>
    <w:rsid w:val="000D5CC4"/>
    <w:rsid w:val="000E5FA7"/>
    <w:rsid w:val="00100A38"/>
    <w:rsid w:val="00114C9D"/>
    <w:rsid w:val="00124F81"/>
    <w:rsid w:val="00152146"/>
    <w:rsid w:val="00193655"/>
    <w:rsid w:val="001A6FB8"/>
    <w:rsid w:val="001E7055"/>
    <w:rsid w:val="00200320"/>
    <w:rsid w:val="00203AB9"/>
    <w:rsid w:val="0022435A"/>
    <w:rsid w:val="00241D3C"/>
    <w:rsid w:val="00245523"/>
    <w:rsid w:val="002A46E5"/>
    <w:rsid w:val="002D0398"/>
    <w:rsid w:val="00335408"/>
    <w:rsid w:val="003363C2"/>
    <w:rsid w:val="003512AC"/>
    <w:rsid w:val="003562CF"/>
    <w:rsid w:val="00363BBD"/>
    <w:rsid w:val="00382570"/>
    <w:rsid w:val="00390A7E"/>
    <w:rsid w:val="00393B5B"/>
    <w:rsid w:val="003C07FE"/>
    <w:rsid w:val="003E2465"/>
    <w:rsid w:val="003F6A2D"/>
    <w:rsid w:val="004164EE"/>
    <w:rsid w:val="004233FE"/>
    <w:rsid w:val="0045709D"/>
    <w:rsid w:val="00461BEE"/>
    <w:rsid w:val="00466ACD"/>
    <w:rsid w:val="004A6231"/>
    <w:rsid w:val="004C70D7"/>
    <w:rsid w:val="00500A91"/>
    <w:rsid w:val="00562EA2"/>
    <w:rsid w:val="005753A1"/>
    <w:rsid w:val="00593B0A"/>
    <w:rsid w:val="005951CB"/>
    <w:rsid w:val="005A4B6C"/>
    <w:rsid w:val="005C0E93"/>
    <w:rsid w:val="005F2CD3"/>
    <w:rsid w:val="005F453A"/>
    <w:rsid w:val="00652068"/>
    <w:rsid w:val="00652275"/>
    <w:rsid w:val="00667A82"/>
    <w:rsid w:val="00693A4C"/>
    <w:rsid w:val="007173B0"/>
    <w:rsid w:val="00722BCA"/>
    <w:rsid w:val="007361ED"/>
    <w:rsid w:val="0075347D"/>
    <w:rsid w:val="007B6144"/>
    <w:rsid w:val="007C287E"/>
    <w:rsid w:val="007F0740"/>
    <w:rsid w:val="007F33EF"/>
    <w:rsid w:val="008107CF"/>
    <w:rsid w:val="00817918"/>
    <w:rsid w:val="00853A29"/>
    <w:rsid w:val="00886CF2"/>
    <w:rsid w:val="00946AF2"/>
    <w:rsid w:val="00997AF5"/>
    <w:rsid w:val="009C0B5D"/>
    <w:rsid w:val="00A05701"/>
    <w:rsid w:val="00A32218"/>
    <w:rsid w:val="00A65D37"/>
    <w:rsid w:val="00A7499E"/>
    <w:rsid w:val="00A92121"/>
    <w:rsid w:val="00A9382D"/>
    <w:rsid w:val="00AD23E0"/>
    <w:rsid w:val="00AF48DB"/>
    <w:rsid w:val="00B034F6"/>
    <w:rsid w:val="00B43815"/>
    <w:rsid w:val="00B64DF6"/>
    <w:rsid w:val="00B837B7"/>
    <w:rsid w:val="00B95B05"/>
    <w:rsid w:val="00BD2057"/>
    <w:rsid w:val="00C22B7B"/>
    <w:rsid w:val="00C71B3F"/>
    <w:rsid w:val="00C86ADD"/>
    <w:rsid w:val="00C97B72"/>
    <w:rsid w:val="00D10439"/>
    <w:rsid w:val="00D37D5D"/>
    <w:rsid w:val="00D6318D"/>
    <w:rsid w:val="00DA77ED"/>
    <w:rsid w:val="00DC1CE5"/>
    <w:rsid w:val="00DD580A"/>
    <w:rsid w:val="00E01E34"/>
    <w:rsid w:val="00E050DF"/>
    <w:rsid w:val="00E10437"/>
    <w:rsid w:val="00E264E5"/>
    <w:rsid w:val="00E27E1E"/>
    <w:rsid w:val="00E3116E"/>
    <w:rsid w:val="00E6624B"/>
    <w:rsid w:val="00E958ED"/>
    <w:rsid w:val="00EB1D24"/>
    <w:rsid w:val="00EF03A3"/>
    <w:rsid w:val="00F02F29"/>
    <w:rsid w:val="00F14BFD"/>
    <w:rsid w:val="00F83426"/>
    <w:rsid w:val="00FC71CA"/>
    <w:rsid w:val="00FC7DCB"/>
    <w:rsid w:val="00FE5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A8857"/>
  <w15:chartTrackingRefBased/>
  <w15:docId w15:val="{4960418E-8A7A-42B7-9F5E-6977C1FF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79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179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523"/>
    <w:pPr>
      <w:ind w:left="720"/>
      <w:contextualSpacing/>
    </w:pPr>
  </w:style>
  <w:style w:type="paragraph" w:styleId="FootnoteText">
    <w:name w:val="footnote text"/>
    <w:basedOn w:val="Normal"/>
    <w:link w:val="FootnoteTextChar"/>
    <w:uiPriority w:val="99"/>
    <w:semiHidden/>
    <w:unhideWhenUsed/>
    <w:rsid w:val="00E662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624B"/>
    <w:rPr>
      <w:sz w:val="20"/>
      <w:szCs w:val="20"/>
    </w:rPr>
  </w:style>
  <w:style w:type="character" w:styleId="FootnoteReference">
    <w:name w:val="footnote reference"/>
    <w:basedOn w:val="DefaultParagraphFont"/>
    <w:uiPriority w:val="99"/>
    <w:semiHidden/>
    <w:unhideWhenUsed/>
    <w:rsid w:val="00E6624B"/>
    <w:rPr>
      <w:vertAlign w:val="superscript"/>
    </w:rPr>
  </w:style>
  <w:style w:type="character" w:customStyle="1" w:styleId="Heading1Char">
    <w:name w:val="Heading 1 Char"/>
    <w:basedOn w:val="DefaultParagraphFont"/>
    <w:link w:val="Heading1"/>
    <w:uiPriority w:val="9"/>
    <w:rsid w:val="0081791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17918"/>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A32218"/>
    <w:pPr>
      <w:outlineLvl w:val="9"/>
    </w:pPr>
    <w:rPr>
      <w:lang w:val="en-US"/>
    </w:rPr>
  </w:style>
  <w:style w:type="paragraph" w:styleId="TOC1">
    <w:name w:val="toc 1"/>
    <w:basedOn w:val="Normal"/>
    <w:next w:val="Normal"/>
    <w:autoRedefine/>
    <w:uiPriority w:val="39"/>
    <w:unhideWhenUsed/>
    <w:rsid w:val="00A32218"/>
    <w:pPr>
      <w:spacing w:after="100"/>
    </w:pPr>
  </w:style>
  <w:style w:type="paragraph" w:styleId="TOC2">
    <w:name w:val="toc 2"/>
    <w:basedOn w:val="Normal"/>
    <w:next w:val="Normal"/>
    <w:autoRedefine/>
    <w:uiPriority w:val="39"/>
    <w:unhideWhenUsed/>
    <w:rsid w:val="00A32218"/>
    <w:pPr>
      <w:spacing w:after="100"/>
      <w:ind w:left="220"/>
    </w:pPr>
  </w:style>
  <w:style w:type="character" w:styleId="Hyperlink">
    <w:name w:val="Hyperlink"/>
    <w:basedOn w:val="DefaultParagraphFont"/>
    <w:uiPriority w:val="99"/>
    <w:unhideWhenUsed/>
    <w:rsid w:val="00A32218"/>
    <w:rPr>
      <w:color w:val="0000FF" w:themeColor="hyperlink"/>
      <w:u w:val="single"/>
    </w:rPr>
  </w:style>
  <w:style w:type="paragraph" w:styleId="Title">
    <w:name w:val="Title"/>
    <w:basedOn w:val="Normal"/>
    <w:next w:val="Normal"/>
    <w:link w:val="TitleChar"/>
    <w:uiPriority w:val="10"/>
    <w:qFormat/>
    <w:rsid w:val="00A322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21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35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408"/>
  </w:style>
  <w:style w:type="paragraph" w:styleId="Footer">
    <w:name w:val="footer"/>
    <w:basedOn w:val="Normal"/>
    <w:link w:val="FooterChar"/>
    <w:uiPriority w:val="99"/>
    <w:unhideWhenUsed/>
    <w:rsid w:val="00335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408"/>
  </w:style>
  <w:style w:type="paragraph" w:customStyle="1" w:styleId="Default">
    <w:name w:val="Default"/>
    <w:rsid w:val="005F453A"/>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745625">
      <w:bodyDiv w:val="1"/>
      <w:marLeft w:val="0"/>
      <w:marRight w:val="0"/>
      <w:marTop w:val="0"/>
      <w:marBottom w:val="0"/>
      <w:divBdr>
        <w:top w:val="none" w:sz="0" w:space="0" w:color="auto"/>
        <w:left w:val="none" w:sz="0" w:space="0" w:color="auto"/>
        <w:bottom w:val="none" w:sz="0" w:space="0" w:color="auto"/>
        <w:right w:val="none" w:sz="0" w:space="0" w:color="auto"/>
      </w:divBdr>
    </w:div>
    <w:div w:id="1252272905">
      <w:bodyDiv w:val="1"/>
      <w:marLeft w:val="0"/>
      <w:marRight w:val="0"/>
      <w:marTop w:val="0"/>
      <w:marBottom w:val="0"/>
      <w:divBdr>
        <w:top w:val="none" w:sz="0" w:space="0" w:color="auto"/>
        <w:left w:val="none" w:sz="0" w:space="0" w:color="auto"/>
        <w:bottom w:val="none" w:sz="0" w:space="0" w:color="auto"/>
        <w:right w:val="none" w:sz="0" w:space="0" w:color="auto"/>
      </w:divBdr>
      <w:divsChild>
        <w:div w:id="1729303108">
          <w:marLeft w:val="0"/>
          <w:marRight w:val="0"/>
          <w:marTop w:val="30"/>
          <w:marBottom w:val="0"/>
          <w:divBdr>
            <w:top w:val="none" w:sz="0" w:space="0" w:color="auto"/>
            <w:left w:val="none" w:sz="0" w:space="0" w:color="auto"/>
            <w:bottom w:val="none" w:sz="0" w:space="0" w:color="auto"/>
            <w:right w:val="none" w:sz="0" w:space="0" w:color="auto"/>
          </w:divBdr>
        </w:div>
      </w:divsChild>
    </w:div>
    <w:div w:id="1287003654">
      <w:bodyDiv w:val="1"/>
      <w:marLeft w:val="0"/>
      <w:marRight w:val="0"/>
      <w:marTop w:val="0"/>
      <w:marBottom w:val="0"/>
      <w:divBdr>
        <w:top w:val="none" w:sz="0" w:space="0" w:color="auto"/>
        <w:left w:val="none" w:sz="0" w:space="0" w:color="auto"/>
        <w:bottom w:val="none" w:sz="0" w:space="0" w:color="auto"/>
        <w:right w:val="none" w:sz="0" w:space="0" w:color="auto"/>
      </w:divBdr>
    </w:div>
    <w:div w:id="1763914439">
      <w:bodyDiv w:val="1"/>
      <w:marLeft w:val="0"/>
      <w:marRight w:val="0"/>
      <w:marTop w:val="0"/>
      <w:marBottom w:val="0"/>
      <w:divBdr>
        <w:top w:val="none" w:sz="0" w:space="0" w:color="auto"/>
        <w:left w:val="none" w:sz="0" w:space="0" w:color="auto"/>
        <w:bottom w:val="none" w:sz="0" w:space="0" w:color="auto"/>
        <w:right w:val="none" w:sz="0" w:space="0" w:color="auto"/>
      </w:divBdr>
    </w:div>
    <w:div w:id="1823351637">
      <w:bodyDiv w:val="1"/>
      <w:marLeft w:val="0"/>
      <w:marRight w:val="0"/>
      <w:marTop w:val="0"/>
      <w:marBottom w:val="0"/>
      <w:divBdr>
        <w:top w:val="none" w:sz="0" w:space="0" w:color="auto"/>
        <w:left w:val="none" w:sz="0" w:space="0" w:color="auto"/>
        <w:bottom w:val="none" w:sz="0" w:space="0" w:color="auto"/>
        <w:right w:val="none" w:sz="0" w:space="0" w:color="auto"/>
      </w:divBdr>
    </w:div>
    <w:div w:id="212796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0-100.ro/2021/02/16/masina-electrica-in-2021-unde-incarc-cat-costa/" TargetMode="External"/><Relationship Id="rId7" Type="http://schemas.openxmlformats.org/officeDocument/2006/relationships/hyperlink" Target="https://data.worldbank.org/indicator/EG.ELC.LOSS.ZS" TargetMode="External"/><Relationship Id="rId2" Type="http://schemas.openxmlformats.org/officeDocument/2006/relationships/hyperlink" Target="https://ev-database.org/cheatsheet/energy-consumption-electric-car" TargetMode="External"/><Relationship Id="rId1" Type="http://schemas.openxmlformats.org/officeDocument/2006/relationships/hyperlink" Target="https://www.gov.uk/government/publications/tag-data-book" TargetMode="External"/><Relationship Id="rId6" Type="http://schemas.openxmlformats.org/officeDocument/2006/relationships/hyperlink" Target="https://mpoweruk.com/energy_efficiency.htm" TargetMode="External"/><Relationship Id="rId5" Type="http://schemas.openxmlformats.org/officeDocument/2006/relationships/hyperlink" Target="https://appsso.eurostat.ec.europa.eu/nui/submitViewTableAction.do" TargetMode="External"/><Relationship Id="rId4" Type="http://schemas.openxmlformats.org/officeDocument/2006/relationships/hyperlink" Target="https://www.anre.ro/ro/despre-anre/rapoarte-anuale"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D5EB8-7E53-4EC6-B0EB-4765A666B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6</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GRESSIER Alexis</dc:creator>
  <cp:keywords/>
  <dc:description/>
  <cp:lastModifiedBy>GRESSIER Alexis</cp:lastModifiedBy>
  <cp:revision>3</cp:revision>
  <dcterms:created xsi:type="dcterms:W3CDTF">2021-03-30T08:06:00Z</dcterms:created>
  <dcterms:modified xsi:type="dcterms:W3CDTF">2021-03-30T17:05:00Z</dcterms:modified>
</cp:coreProperties>
</file>